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8930105"/>
      <w:bookmarkEnd w:id="0"/>
      <w:bookmarkStart w:id="1" w:name="_Hlt449016246"/>
      <w:bookmarkEnd w:id="1"/>
      <w:bookmarkStart w:id="2" w:name="_Hlt450051172"/>
      <w:bookmarkEnd w:id="2"/>
      <w:bookmarkStart w:id="3" w:name="_Hlt450066087"/>
      <w:bookmarkEnd w:id="3"/>
      <w:bookmarkStart w:id="4" w:name="_Hlt450039480"/>
      <w:bookmarkEnd w:id="4"/>
      <w:bookmarkStart w:id="5" w:name="_Hlt450066085"/>
      <w:bookmarkEnd w:id="5"/>
      <w:bookmarkStart w:id="6" w:name="OLE_LINK49"/>
      <w:bookmarkStart w:id="7" w:name="OLE_LINK111"/>
      <w:bookmarkStart w:id="8" w:name="OLE_LINK27"/>
      <w:r>
        <w:rPr>
          <w:b/>
          <w:sz w:val="24"/>
        </w:rPr>
        <w:t>3GPP TSG-RAN WG4 Meeting #</w:t>
      </w:r>
      <w:r>
        <w:rPr>
          <w:rFonts w:hint="eastAsia"/>
          <w:b/>
          <w:sz w:val="24"/>
        </w:rPr>
        <w:t>117</w:t>
      </w:r>
      <w:r>
        <w:rPr>
          <w:b/>
          <w:sz w:val="24"/>
        </w:rPr>
        <w:tab/>
      </w:r>
      <w:r>
        <w:rPr>
          <w:b/>
          <w:sz w:val="24"/>
        </w:rPr>
        <w:t>R4-25</w:t>
      </w:r>
      <w:r>
        <w:rPr>
          <w:rFonts w:hint="eastAsia" w:eastAsia="宋体"/>
          <w:b/>
          <w:sz w:val="24"/>
          <w:lang w:val="en-US" w:eastAsia="zh-CN"/>
        </w:rPr>
        <w:t>21062</w:t>
      </w:r>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b/>
          <w:sz w:val="24"/>
        </w:rPr>
      </w:pPr>
      <w:r>
        <w:rPr>
          <w:rFonts w:hint="eastAsia"/>
          <w:b/>
          <w:sz w:val="24"/>
        </w:rPr>
        <w:t>Dallas</w:t>
      </w:r>
      <w:r>
        <w:rPr>
          <w:b/>
          <w:sz w:val="24"/>
        </w:rPr>
        <w:t xml:space="preserve">, </w:t>
      </w:r>
      <w:r>
        <w:rPr>
          <w:rFonts w:hint="eastAsia"/>
          <w:b/>
          <w:sz w:val="24"/>
        </w:rPr>
        <w:t>US</w:t>
      </w:r>
      <w:r>
        <w:rPr>
          <w:b/>
          <w:sz w:val="24"/>
        </w:rPr>
        <w:t xml:space="preserve">, </w:t>
      </w:r>
      <w:r>
        <w:rPr>
          <w:rFonts w:hint="eastAsia"/>
          <w:b/>
          <w:sz w:val="24"/>
        </w:rPr>
        <w:t xml:space="preserve">17 </w:t>
      </w:r>
      <w:r>
        <w:rPr>
          <w:b/>
          <w:sz w:val="24"/>
        </w:rPr>
        <w:t>–</w:t>
      </w:r>
      <w:r>
        <w:rPr>
          <w:rFonts w:hint="eastAsia"/>
          <w:b/>
          <w:sz w:val="24"/>
        </w:rPr>
        <w:t xml:space="preserve"> 21, </w:t>
      </w:r>
      <w:r>
        <w:rPr>
          <w:b/>
          <w:sz w:val="24"/>
        </w:rPr>
        <w:t>November 2025</w:t>
      </w:r>
    </w:p>
    <w:bookmarkEnd w:id="6"/>
    <w:bookmarkEnd w:id="7"/>
    <w:bookmarkEnd w:id="8"/>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9" w:name="OLE_LINK14"/>
      <w:bookmarkStart w:id="10"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9"/>
      <w:bookmarkEnd w:id="10"/>
      <w:r>
        <w:rPr>
          <w:rStyle w:val="60"/>
          <w:rFonts w:hint="eastAsia"/>
          <w:b/>
          <w:highlight w:val="none"/>
          <w:lang w:val="en-US" w:eastAsia="zh-CN"/>
        </w:rPr>
        <w:t xml:space="preserve"> UE RF requirements for HD-FDD for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7.6.4.1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109</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HD-FDD for NR NTN</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HD-FDD for NR NTN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sz w:val="20"/>
                <w:szCs w:val="20"/>
                <w:u w:val="single"/>
                <w:lang w:val="en-US"/>
              </w:rPr>
            </w:pPr>
            <w:r>
              <w:rPr>
                <w:sz w:val="20"/>
                <w:szCs w:val="20"/>
                <w:u w:val="single"/>
                <w:lang w:val="en-US"/>
              </w:rPr>
              <w:t>HD-FDD for NTN Core Part</w:t>
            </w:r>
          </w:p>
          <w:p>
            <w:pPr>
              <w:pStyle w:val="34"/>
              <w:numPr>
                <w:ilvl w:val="0"/>
                <w:numId w:val="8"/>
              </w:numPr>
              <w:overflowPunct w:val="0"/>
              <w:autoSpaceDE w:val="0"/>
              <w:autoSpaceDN w:val="0"/>
              <w:adjustRightInd w:val="0"/>
              <w:spacing w:after="0"/>
              <w:ind w:left="810" w:hanging="450"/>
              <w:textAlignment w:val="auto"/>
              <w:rPr>
                <w:sz w:val="20"/>
                <w:szCs w:val="20"/>
              </w:rPr>
            </w:pPr>
            <w:r>
              <w:rPr>
                <w:sz w:val="20"/>
                <w:szCs w:val="20"/>
              </w:rPr>
              <w:t>Specify RF and RRM requirements to support HD-FDD VSATs in both Ka and Ku bands with FR1 and FR2 numerologies</w:t>
            </w:r>
          </w:p>
          <w:p>
            <w:pPr>
              <w:pStyle w:val="34"/>
              <w:numPr>
                <w:ilvl w:val="0"/>
                <w:numId w:val="9"/>
              </w:numPr>
              <w:overflowPunct/>
              <w:autoSpaceDE/>
              <w:autoSpaceDN/>
              <w:adjustRightInd/>
              <w:spacing w:after="0"/>
              <w:textAlignment w:val="auto"/>
              <w:rPr>
                <w:sz w:val="20"/>
                <w:szCs w:val="20"/>
              </w:rPr>
            </w:pPr>
            <w:r>
              <w:rPr>
                <w:sz w:val="20"/>
                <w:szCs w:val="20"/>
              </w:rPr>
              <w:t>Phase 1: Ku</w:t>
            </w:r>
            <w:r>
              <w:rPr>
                <w:rFonts w:hint="eastAsia" w:eastAsia="Malgun Gothic"/>
                <w:sz w:val="20"/>
                <w:szCs w:val="20"/>
                <w:lang w:eastAsia="ko-KR"/>
              </w:rPr>
              <w:t xml:space="preserve"> </w:t>
            </w:r>
            <w:r>
              <w:rPr>
                <w:rFonts w:eastAsia="Malgun Gothic"/>
                <w:sz w:val="20"/>
                <w:szCs w:val="20"/>
                <w:lang w:eastAsia="ko-KR"/>
              </w:rPr>
              <w:t xml:space="preserve">band with </w:t>
            </w:r>
            <w:r>
              <w:rPr>
                <w:sz w:val="20"/>
                <w:szCs w:val="20"/>
              </w:rPr>
              <w:t>FR1 numerology</w:t>
            </w:r>
          </w:p>
          <w:p>
            <w:pPr>
              <w:pStyle w:val="34"/>
              <w:numPr>
                <w:ilvl w:val="1"/>
                <w:numId w:val="9"/>
              </w:numPr>
              <w:overflowPunct/>
              <w:autoSpaceDE/>
              <w:autoSpaceDN/>
              <w:adjustRightInd/>
              <w:spacing w:after="0"/>
              <w:textAlignment w:val="auto"/>
              <w:rPr>
                <w:bCs/>
                <w:sz w:val="20"/>
                <w:szCs w:val="20"/>
              </w:rPr>
            </w:pPr>
            <w:r>
              <w:rPr>
                <w:bCs/>
                <w:sz w:val="20"/>
                <w:szCs w:val="20"/>
              </w:rPr>
              <w:t>Introduce a single set of requirements for HD-FDD for VSAT types 2, 3, 5, 6 with electronically steered antenna</w:t>
            </w:r>
          </w:p>
          <w:p>
            <w:pPr>
              <w:pStyle w:val="34"/>
              <w:numPr>
                <w:ilvl w:val="1"/>
                <w:numId w:val="9"/>
              </w:numPr>
              <w:overflowPunct/>
              <w:autoSpaceDE/>
              <w:autoSpaceDN/>
              <w:adjustRightInd/>
              <w:spacing w:after="0"/>
              <w:textAlignment w:val="auto"/>
              <w:rPr>
                <w:bCs/>
                <w:sz w:val="20"/>
                <w:szCs w:val="20"/>
              </w:rPr>
            </w:pPr>
            <w:r>
              <w:rPr>
                <w:bCs/>
                <w:sz w:val="20"/>
                <w:szCs w:val="20"/>
              </w:rPr>
              <w:t xml:space="preserve">Introduce requirements for HD-FDD </w:t>
            </w:r>
            <w:r>
              <w:rPr>
                <w:rFonts w:hint="eastAsia" w:eastAsia="Malgun Gothic"/>
                <w:bCs/>
                <w:sz w:val="20"/>
                <w:szCs w:val="20"/>
                <w:lang w:eastAsia="ko-KR"/>
              </w:rPr>
              <w:t xml:space="preserve">Mobile </w:t>
            </w:r>
            <w:r>
              <w:rPr>
                <w:bCs/>
                <w:sz w:val="20"/>
                <w:szCs w:val="20"/>
              </w:rPr>
              <w:t>VSAT with small antennas (e.g., 20x20cm) with a new VSAT type</w:t>
            </w:r>
          </w:p>
          <w:p>
            <w:pPr>
              <w:pStyle w:val="34"/>
              <w:numPr>
                <w:ilvl w:val="0"/>
                <w:numId w:val="9"/>
              </w:numPr>
              <w:overflowPunct/>
              <w:autoSpaceDE/>
              <w:autoSpaceDN/>
              <w:adjustRightInd/>
              <w:spacing w:after="0"/>
              <w:textAlignment w:val="auto"/>
              <w:rPr>
                <w:sz w:val="20"/>
                <w:szCs w:val="20"/>
              </w:rPr>
            </w:pPr>
            <w:r>
              <w:rPr>
                <w:sz w:val="20"/>
                <w:szCs w:val="20"/>
              </w:rPr>
              <w:t xml:space="preserve">Phase 2:  Ku band and Ka band with FR2 numerology </w:t>
            </w:r>
          </w:p>
          <w:p>
            <w:pPr>
              <w:pStyle w:val="34"/>
              <w:numPr>
                <w:ilvl w:val="1"/>
                <w:numId w:val="9"/>
              </w:numPr>
              <w:overflowPunct/>
              <w:autoSpaceDE/>
              <w:autoSpaceDN/>
              <w:adjustRightInd/>
              <w:spacing w:after="0"/>
              <w:textAlignment w:val="auto"/>
              <w:rPr>
                <w:bCs/>
                <w:sz w:val="20"/>
                <w:szCs w:val="20"/>
              </w:rPr>
            </w:pPr>
            <w:r>
              <w:rPr>
                <w:bCs/>
                <w:sz w:val="20"/>
                <w:szCs w:val="20"/>
              </w:rPr>
              <w:t>Introduce a single set of requirements for HD-FDD for VSAT types 2, 3, 5, 6 with electronically steered antenna</w:t>
            </w:r>
          </w:p>
          <w:p>
            <w:pPr>
              <w:pStyle w:val="34"/>
              <w:numPr>
                <w:ilvl w:val="1"/>
                <w:numId w:val="9"/>
              </w:numPr>
              <w:overflowPunct/>
              <w:autoSpaceDE/>
              <w:autoSpaceDN/>
              <w:adjustRightInd/>
              <w:spacing w:after="0"/>
              <w:textAlignment w:val="auto"/>
              <w:rPr>
                <w:bCs/>
                <w:sz w:val="20"/>
                <w:szCs w:val="20"/>
              </w:rPr>
            </w:pPr>
            <w:r>
              <w:rPr>
                <w:bCs/>
                <w:sz w:val="20"/>
                <w:szCs w:val="20"/>
              </w:rPr>
              <w:t xml:space="preserve">Introduce requirements for HD-FDD </w:t>
            </w:r>
            <w:r>
              <w:rPr>
                <w:rFonts w:hint="eastAsia" w:eastAsia="Malgun Gothic"/>
                <w:bCs/>
                <w:sz w:val="20"/>
                <w:szCs w:val="20"/>
                <w:lang w:eastAsia="ko-KR"/>
              </w:rPr>
              <w:t xml:space="preserve">Mobile </w:t>
            </w:r>
            <w:r>
              <w:rPr>
                <w:bCs/>
                <w:sz w:val="20"/>
                <w:szCs w:val="20"/>
              </w:rPr>
              <w:t>VSAT with small antennas (e.g., 20x20cm) with a new VSAT type</w:t>
            </w:r>
          </w:p>
          <w:p>
            <w:pPr>
              <w:pStyle w:val="34"/>
              <w:numPr>
                <w:ilvl w:val="0"/>
                <w:numId w:val="9"/>
              </w:numPr>
              <w:overflowPunct/>
              <w:autoSpaceDE/>
              <w:autoSpaceDN/>
              <w:adjustRightInd/>
              <w:spacing w:after="0"/>
              <w:textAlignment w:val="auto"/>
              <w:rPr>
                <w:sz w:val="20"/>
                <w:szCs w:val="20"/>
              </w:rPr>
            </w:pPr>
            <w:r>
              <w:rPr>
                <w:sz w:val="20"/>
                <w:szCs w:val="20"/>
              </w:rPr>
              <w:t>Phase 1 work will commence immediately.  Phase 2 work will commence upon completion of Phase 1 and RAN1/RAN2 availability</w:t>
            </w:r>
          </w:p>
          <w:p>
            <w:pPr>
              <w:pStyle w:val="34"/>
              <w:numPr>
                <w:ilvl w:val="0"/>
                <w:numId w:val="10"/>
              </w:numPr>
              <w:overflowPunct w:val="0"/>
              <w:autoSpaceDE w:val="0"/>
              <w:autoSpaceDN w:val="0"/>
              <w:adjustRightInd w:val="0"/>
              <w:spacing w:after="180"/>
              <w:textAlignment w:val="baseline"/>
              <w:rPr>
                <w:sz w:val="20"/>
                <w:szCs w:val="20"/>
                <w:lang w:val="en-US"/>
              </w:rPr>
            </w:pPr>
            <w:r>
              <w:rPr>
                <w:bCs/>
                <w:sz w:val="20"/>
                <w:szCs w:val="20"/>
              </w:rPr>
              <w:t>Note :Leverage RedCap NTN HD-FDD solution to NTN HD-FDD VSAT as applicable.</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i w:val="0"/>
          <w:iCs w:val="0"/>
          <w:sz w:val="20"/>
          <w:szCs w:val="20"/>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b/>
          <w:kern w:val="0"/>
          <w:sz w:val="24"/>
          <w:szCs w:val="24"/>
          <w:highlight w:val="none"/>
          <w:lang w:val="en-US" w:eastAsia="zh-CN"/>
        </w:rPr>
      </w:pPr>
      <w:r>
        <w:rPr>
          <w:rFonts w:hint="eastAsia"/>
          <w:b/>
          <w:kern w:val="0"/>
          <w:sz w:val="24"/>
          <w:szCs w:val="24"/>
          <w:highlight w:val="none"/>
          <w:lang w:val="en-US" w:eastAsia="zh-CN"/>
        </w:rPr>
        <w:t>2.1 HD-FDD requirements for VSAT type 2, 3, 5, 6</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numPr>
                <w:ilvl w:val="2"/>
                <w:numId w:val="0"/>
              </w:numPr>
              <w:overflowPunct w:val="0"/>
              <w:autoSpaceDE w:val="0"/>
              <w:autoSpaceDN w:val="0"/>
              <w:adjustRightInd w:val="0"/>
              <w:ind w:leftChars="0" w:right="0" w:rightChars="0"/>
              <w:textAlignment w:val="baseline"/>
              <w:rPr>
                <w:sz w:val="20"/>
                <w:szCs w:val="20"/>
                <w:lang w:val="en-US"/>
              </w:rPr>
            </w:pPr>
            <w:r>
              <w:rPr>
                <w:sz w:val="20"/>
                <w:szCs w:val="20"/>
                <w:lang w:val="en-US"/>
              </w:rPr>
              <w:t>Issue 1-1-</w:t>
            </w:r>
            <w:r>
              <w:rPr>
                <w:sz w:val="20"/>
                <w:szCs w:val="20"/>
                <w:lang w:val="en-US" w:eastAsia="zh-TW"/>
              </w:rPr>
              <w:t>2</w:t>
            </w:r>
            <w:r>
              <w:rPr>
                <w:sz w:val="20"/>
                <w:szCs w:val="20"/>
                <w:lang w:val="en-US"/>
              </w:rPr>
              <w:t>: RF requirements for fixed VSAT for HD-FDD</w:t>
            </w:r>
          </w:p>
          <w:p>
            <w:pPr>
              <w:pStyle w:val="34"/>
              <w:numPr>
                <w:ilvl w:val="0"/>
                <w:numId w:val="11"/>
              </w:numPr>
              <w:overflowPunct/>
              <w:autoSpaceDE/>
              <w:autoSpaceDN w:val="0"/>
              <w:adjustRightInd/>
              <w:spacing w:after="120"/>
              <w:ind w:left="720" w:firstLineChars="0"/>
              <w:textAlignment w:val="auto"/>
              <w:rPr>
                <w:rFonts w:eastAsia="宋体"/>
                <w:sz w:val="20"/>
                <w:szCs w:val="20"/>
                <w:lang w:eastAsia="zh-CN"/>
              </w:rPr>
            </w:pPr>
            <w:r>
              <w:rPr>
                <w:rFonts w:eastAsia="宋体"/>
                <w:sz w:val="20"/>
                <w:szCs w:val="20"/>
                <w:lang w:eastAsia="zh-CN"/>
              </w:rPr>
              <w:t>WF</w:t>
            </w:r>
          </w:p>
          <w:p>
            <w:pPr>
              <w:pStyle w:val="34"/>
              <w:numPr>
                <w:ilvl w:val="1"/>
                <w:numId w:val="11"/>
              </w:numPr>
              <w:overflowPunct/>
              <w:autoSpaceDE/>
              <w:autoSpaceDN w:val="0"/>
              <w:adjustRightInd/>
              <w:spacing w:after="120"/>
              <w:ind w:firstLineChars="0"/>
              <w:textAlignment w:val="auto"/>
              <w:rPr>
                <w:rFonts w:eastAsia="宋体"/>
                <w:sz w:val="20"/>
                <w:szCs w:val="20"/>
                <w:lang w:eastAsia="zh-CN"/>
              </w:rPr>
            </w:pPr>
            <w:r>
              <w:rPr>
                <w:sz w:val="20"/>
                <w:szCs w:val="20"/>
                <w:lang w:val="en-US"/>
              </w:rPr>
              <w:t>For FR1-NTN Ku band n248, n247,</w:t>
            </w:r>
            <w:r>
              <w:rPr>
                <w:rFonts w:hint="eastAsia" w:eastAsia="宋体"/>
                <w:sz w:val="20"/>
                <w:szCs w:val="20"/>
                <w:lang w:val="en-US" w:eastAsia="zh-CN"/>
              </w:rPr>
              <w:t xml:space="preserve"> t</w:t>
            </w:r>
            <w:r>
              <w:rPr>
                <w:rFonts w:eastAsia="PMingLiU"/>
                <w:sz w:val="20"/>
                <w:szCs w:val="20"/>
                <w:lang w:val="en-US" w:eastAsia="zh-TW"/>
              </w:rPr>
              <w:t>he FDD requirements for Type 2 VSAT and Type 3 VSAT are based on the Type 5 and Type 6 requirements regarding maximum output power, OTA reference sensitivity level, and maximum input level. The same principle should be applied to HD-FDD.</w:t>
            </w:r>
          </w:p>
          <w:p>
            <w:pPr>
              <w:pStyle w:val="34"/>
              <w:numPr>
                <w:ilvl w:val="1"/>
                <w:numId w:val="11"/>
              </w:numPr>
              <w:overflowPunct/>
              <w:autoSpaceDE/>
              <w:autoSpaceDN w:val="0"/>
              <w:adjustRightInd/>
              <w:spacing w:after="120"/>
              <w:ind w:firstLineChars="0"/>
              <w:textAlignment w:val="auto"/>
              <w:rPr>
                <w:rFonts w:hint="default"/>
                <w:sz w:val="20"/>
                <w:szCs w:val="20"/>
                <w:vertAlign w:val="baseline"/>
                <w:lang w:val="en-US" w:eastAsia="zh-CN"/>
              </w:rPr>
            </w:pPr>
            <w:r>
              <w:rPr>
                <w:rFonts w:eastAsia="PMingLiU"/>
                <w:sz w:val="20"/>
                <w:szCs w:val="20"/>
                <w:lang w:val="en-US" w:eastAsia="zh-TW"/>
              </w:rPr>
              <w:t>Further check the regulation related requirements related to NS_203N~NS_208N for the fixed VSAT operating in n248 and n247.</w:t>
            </w:r>
          </w:p>
        </w:tc>
      </w:tr>
    </w:tbl>
    <w:p>
      <w:pPr>
        <w:rPr>
          <w:rFonts w:hint="default"/>
          <w:lang w:val="en-US" w:eastAsia="zh-CN"/>
        </w:rPr>
      </w:pPr>
      <w:r>
        <w:rPr>
          <w:rFonts w:hint="eastAsia"/>
          <w:lang w:val="en-US" w:eastAsia="zh-CN"/>
        </w:rPr>
        <w:t xml:space="preserve">Regarding regulation related requirements related to NS_203N~NS208N, they are defined for mobile VSAT for Ku band FDD in Rel-19. In Rel-20, we need to further check whether </w:t>
      </w:r>
      <w:r>
        <w:rPr>
          <w:rFonts w:eastAsia="PMingLiU"/>
          <w:sz w:val="20"/>
          <w:szCs w:val="20"/>
          <w:lang w:val="en-US" w:eastAsia="zh-TW"/>
        </w:rPr>
        <w:t>NS_203N~NS_208N</w:t>
      </w:r>
      <w:r>
        <w:rPr>
          <w:rFonts w:hint="eastAsia" w:eastAsia="宋体"/>
          <w:sz w:val="20"/>
          <w:szCs w:val="20"/>
          <w:lang w:val="en-US" w:eastAsia="zh-CN"/>
        </w:rPr>
        <w:t xml:space="preserve"> can be reused for fixed VSAT</w:t>
      </w:r>
      <w:r>
        <w:rPr>
          <w:rFonts w:hint="eastAsia"/>
          <w:lang w:val="en-US" w:eastAsia="zh-CN"/>
        </w:rPr>
        <w:t>. For NS_203N, NS_204N, NS_207N, and NS_208N, they are all used for FCC regulations. Additional regional requirements indicated by these NS values and corresponding references are as follows.</w:t>
      </w:r>
    </w:p>
    <w:p>
      <w:pPr>
        <w:numPr>
          <w:ilvl w:val="0"/>
          <w:numId w:val="12"/>
        </w:numPr>
        <w:ind w:left="420" w:leftChars="0" w:hanging="420" w:firstLineChars="0"/>
        <w:rPr>
          <w:rFonts w:hint="default"/>
          <w:lang w:val="en-US" w:eastAsia="zh-CN"/>
        </w:rPr>
      </w:pPr>
      <w:r>
        <w:rPr>
          <w:rFonts w:hint="eastAsia"/>
          <w:lang w:val="en-US" w:eastAsia="zh-CN"/>
        </w:rPr>
        <w:t>Off-axis EIRP emission density: It refers to 25.208, in which it clarifies that it is applicable to fixed VSAT.</w:t>
      </w:r>
    </w:p>
    <w:p>
      <w:pPr>
        <w:jc w:val="center"/>
        <w:rPr>
          <w:rFonts w:hint="default"/>
          <w:lang w:val="en-US" w:eastAsia="zh-CN"/>
        </w:rPr>
      </w:pPr>
      <w:r>
        <w:rPr>
          <w:rFonts w:hint="eastAsia" w:eastAsia="宋体"/>
          <w:lang w:val="en-US" w:eastAsia="zh-CN"/>
        </w:rPr>
        <w:drawing>
          <wp:inline distT="0" distB="0" distL="114300" distR="114300">
            <wp:extent cx="4606290" cy="1261745"/>
            <wp:effectExtent l="0" t="0" r="11430" b="317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2"/>
                    <a:stretch>
                      <a:fillRect/>
                    </a:stretch>
                  </pic:blipFill>
                  <pic:spPr>
                    <a:xfrm>
                      <a:off x="0" y="0"/>
                      <a:ext cx="4606290" cy="1261745"/>
                    </a:xfrm>
                    <a:prstGeom prst="rect">
                      <a:avLst/>
                    </a:prstGeom>
                  </pic:spPr>
                </pic:pic>
              </a:graphicData>
            </a:graphic>
          </wp:inline>
        </w:drawing>
      </w:r>
    </w:p>
    <w:p>
      <w:pPr>
        <w:numPr>
          <w:ilvl w:val="0"/>
          <w:numId w:val="12"/>
        </w:numPr>
        <w:ind w:left="420" w:leftChars="0" w:hanging="420" w:firstLineChars="0"/>
        <w:rPr>
          <w:rFonts w:hint="default"/>
          <w:lang w:val="en-US" w:eastAsia="zh-CN"/>
        </w:rPr>
      </w:pPr>
      <w:r>
        <w:rPr>
          <w:rFonts w:hint="eastAsia"/>
          <w:lang w:val="en-US" w:eastAsia="zh-CN"/>
        </w:rPr>
        <w:t>Additional spectrum emission mask: It refers to 25.202, and it is generally applied to any NTN VSAT.</w:t>
      </w:r>
    </w:p>
    <w:p>
      <w:pPr>
        <w:numPr>
          <w:ilvl w:val="0"/>
          <w:numId w:val="12"/>
        </w:numPr>
        <w:ind w:left="420" w:leftChars="0" w:hanging="420" w:firstLineChars="0"/>
        <w:rPr>
          <w:rFonts w:hint="eastAsia"/>
          <w:lang w:val="en-US" w:eastAsia="zh-CN"/>
        </w:rPr>
      </w:pPr>
      <w:r>
        <w:rPr>
          <w:rFonts w:hint="eastAsia"/>
          <w:lang w:val="en-US" w:eastAsia="zh-CN"/>
        </w:rPr>
        <w:t>Antenna performance: It refers to 25.209, where it generally applies to any NTN VSAT.</w:t>
      </w:r>
    </w:p>
    <w:p>
      <w:pPr>
        <w:jc w:val="center"/>
      </w:pPr>
      <w:r>
        <w:drawing>
          <wp:inline distT="0" distB="0" distL="114300" distR="114300">
            <wp:extent cx="4667885" cy="619760"/>
            <wp:effectExtent l="0" t="0" r="10795" b="508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667885" cy="619760"/>
                    </a:xfrm>
                    <a:prstGeom prst="rect">
                      <a:avLst/>
                    </a:prstGeom>
                    <a:noFill/>
                    <a:ln>
                      <a:noFill/>
                    </a:ln>
                  </pic:spPr>
                </pic:pic>
              </a:graphicData>
            </a:graphic>
          </wp:inline>
        </w:drawing>
      </w:r>
    </w:p>
    <w:p>
      <w:pPr>
        <w:rPr>
          <w:rFonts w:hint="default"/>
          <w:lang w:val="en-US" w:eastAsia="zh-CN"/>
        </w:rPr>
      </w:pPr>
      <w:r>
        <w:rPr>
          <w:rFonts w:hint="eastAsia"/>
          <w:lang w:val="en-US" w:eastAsia="zh-CN"/>
        </w:rPr>
        <w:t>For NS_205N and NS_206N, there are used for ECC regulations. Additional regional requirements indicated by these NS values and corresponding reference are as follows.</w:t>
      </w:r>
    </w:p>
    <w:p>
      <w:pPr>
        <w:numPr>
          <w:ilvl w:val="0"/>
          <w:numId w:val="12"/>
        </w:numPr>
        <w:ind w:left="420" w:leftChars="0" w:hanging="420" w:firstLineChars="0"/>
        <w:rPr>
          <w:rFonts w:hint="eastAsia"/>
          <w:lang w:val="en-US" w:eastAsia="zh-CN"/>
        </w:rPr>
      </w:pPr>
      <w:r>
        <w:rPr>
          <w:rFonts w:hint="eastAsia"/>
          <w:lang w:val="en-US" w:eastAsia="zh-CN"/>
        </w:rPr>
        <w:t xml:space="preserve">Off-axis EIRP density: it refers to EN 301 428, EN 302 340 and EN 302 977. </w:t>
      </w:r>
    </w:p>
    <w:p>
      <w:pPr>
        <w:numPr>
          <w:ilvl w:val="0"/>
          <w:numId w:val="12"/>
        </w:numPr>
        <w:ind w:left="420" w:leftChars="0" w:hanging="420" w:firstLineChars="0"/>
        <w:rPr>
          <w:rFonts w:hint="default"/>
          <w:lang w:val="en-US" w:eastAsia="zh-CN"/>
        </w:rPr>
      </w:pPr>
      <w:r>
        <w:rPr>
          <w:rFonts w:hint="default"/>
          <w:lang w:val="en-US" w:eastAsia="zh-CN"/>
        </w:rPr>
        <w:t>On-axis spurious, refer to EN 302 977, EN 303 980, EN 303 981</w:t>
      </w:r>
    </w:p>
    <w:p>
      <w:pPr>
        <w:numPr>
          <w:ilvl w:val="0"/>
          <w:numId w:val="12"/>
        </w:numPr>
        <w:ind w:left="420" w:leftChars="0" w:hanging="420" w:firstLineChars="0"/>
        <w:rPr>
          <w:rFonts w:hint="default"/>
          <w:lang w:val="en-US" w:eastAsia="zh-CN"/>
        </w:rPr>
      </w:pPr>
      <w:r>
        <w:rPr>
          <w:rFonts w:hint="default"/>
          <w:lang w:val="en-US" w:eastAsia="zh-CN"/>
        </w:rPr>
        <w:t>Off-axis spurious, refer to EN 302 977, EN 303 980, EN 303 981</w:t>
      </w:r>
    </w:p>
    <w:p>
      <w:pPr>
        <w:numPr>
          <w:ilvl w:val="0"/>
          <w:numId w:val="12"/>
        </w:numPr>
        <w:ind w:left="420" w:leftChars="0" w:hanging="420" w:firstLineChars="0"/>
        <w:rPr>
          <w:rFonts w:hint="default"/>
          <w:lang w:val="en-US" w:eastAsia="zh-CN"/>
        </w:rPr>
      </w:pPr>
      <w:r>
        <w:rPr>
          <w:rFonts w:hint="default"/>
          <w:lang w:val="en-US" w:eastAsia="zh-CN"/>
        </w:rPr>
        <w:t>Receiver antenna off-axis performance, refer to EN 302 340 and EN 302 977, EN 303 980, EN 303 981</w:t>
      </w:r>
    </w:p>
    <w:p>
      <w:pPr>
        <w:rPr>
          <w:rFonts w:hint="eastAsia"/>
          <w:lang w:val="en-US" w:eastAsia="zh-CN"/>
        </w:rPr>
      </w:pPr>
      <w:r>
        <w:rPr>
          <w:rFonts w:hint="eastAsia"/>
          <w:lang w:val="en-US" w:eastAsia="zh-CN"/>
        </w:rPr>
        <w:t>The applicable VSAT type for the above ECC regulations are listed in the following table.</w:t>
      </w:r>
    </w:p>
    <w:p>
      <w:pPr>
        <w:jc w:val="center"/>
        <w:rPr>
          <w:rFonts w:hint="default"/>
          <w:b/>
          <w:bCs/>
          <w:lang w:val="en-US" w:eastAsia="zh-CN"/>
        </w:rPr>
      </w:pPr>
      <w:r>
        <w:rPr>
          <w:rFonts w:hint="eastAsia"/>
          <w:b/>
          <w:bCs/>
          <w:lang w:val="en-US" w:eastAsia="zh-CN"/>
        </w:rPr>
        <w:t>Table 2.1-1: The applicable VSAT type for ECC regualtions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overflowPunct w:val="0"/>
              <w:autoSpaceDE w:val="0"/>
              <w:autoSpaceDN w:val="0"/>
              <w:adjustRightInd w:val="0"/>
              <w:spacing w:after="180"/>
              <w:textAlignment w:val="baseline"/>
              <w:rPr>
                <w:rFonts w:hint="default"/>
                <w:vertAlign w:val="baseline"/>
                <w:lang w:val="en-US" w:eastAsia="zh-CN"/>
              </w:rPr>
            </w:pPr>
            <w:r>
              <w:rPr>
                <w:rFonts w:hint="eastAsia"/>
                <w:lang w:val="en-US" w:eastAsia="zh-CN"/>
              </w:rPr>
              <w:t>EN 301 428</w:t>
            </w:r>
          </w:p>
        </w:tc>
        <w:tc>
          <w:tcPr>
            <w:tcW w:w="4938" w:type="dxa"/>
          </w:tcPr>
          <w:p>
            <w:pPr>
              <w:overflowPunct w:val="0"/>
              <w:autoSpaceDE w:val="0"/>
              <w:autoSpaceDN w:val="0"/>
              <w:adjustRightInd w:val="0"/>
              <w:spacing w:after="180"/>
              <w:textAlignment w:val="baseline"/>
              <w:rPr>
                <w:rFonts w:hint="default"/>
                <w:vertAlign w:val="baseline"/>
                <w:lang w:val="en-US" w:eastAsia="zh-CN"/>
              </w:rPr>
            </w:pPr>
            <w:r>
              <w:rPr>
                <w:rFonts w:hint="eastAsia"/>
                <w:vertAlign w:val="baseline"/>
                <w:lang w:val="en-US" w:eastAsia="zh-CN"/>
              </w:rPr>
              <w:t>Fixed and mobile VSAT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overflowPunct w:val="0"/>
              <w:autoSpaceDE w:val="0"/>
              <w:autoSpaceDN w:val="0"/>
              <w:adjustRightInd w:val="0"/>
              <w:spacing w:after="180"/>
              <w:textAlignment w:val="baseline"/>
              <w:rPr>
                <w:rFonts w:hint="default"/>
                <w:vertAlign w:val="baseline"/>
                <w:lang w:val="en-US" w:eastAsia="zh-CN"/>
              </w:rPr>
            </w:pPr>
            <w:r>
              <w:rPr>
                <w:rFonts w:hint="eastAsia"/>
                <w:lang w:val="en-US" w:eastAsia="zh-CN"/>
              </w:rPr>
              <w:t>EN 304 340</w:t>
            </w:r>
          </w:p>
        </w:tc>
        <w:tc>
          <w:tcPr>
            <w:tcW w:w="4938" w:type="dxa"/>
          </w:tcPr>
          <w:p>
            <w:pPr>
              <w:overflowPunct w:val="0"/>
              <w:autoSpaceDE w:val="0"/>
              <w:autoSpaceDN w:val="0"/>
              <w:adjustRightInd w:val="0"/>
              <w:spacing w:after="180"/>
              <w:textAlignment w:val="baseline"/>
              <w:rPr>
                <w:rFonts w:hint="default"/>
                <w:vertAlign w:val="baseline"/>
                <w:lang w:val="en-US" w:eastAsia="zh-CN"/>
              </w:rPr>
            </w:pPr>
            <w:r>
              <w:rPr>
                <w:rFonts w:hint="eastAsia"/>
                <w:vertAlign w:val="baseline"/>
                <w:lang w:val="en-US" w:eastAsia="zh-CN"/>
              </w:rPr>
              <w:t>Mobile VSAT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overflowPunct w:val="0"/>
              <w:autoSpaceDE w:val="0"/>
              <w:autoSpaceDN w:val="0"/>
              <w:adjustRightInd w:val="0"/>
              <w:spacing w:after="180"/>
              <w:textAlignment w:val="baseline"/>
              <w:rPr>
                <w:rFonts w:hint="default"/>
                <w:vertAlign w:val="baseline"/>
                <w:lang w:val="en-US" w:eastAsia="zh-CN"/>
              </w:rPr>
            </w:pPr>
            <w:r>
              <w:rPr>
                <w:rFonts w:hint="eastAsia"/>
                <w:lang w:val="en-US" w:eastAsia="zh-CN"/>
              </w:rPr>
              <w:t>EN 302 977</w:t>
            </w:r>
          </w:p>
        </w:tc>
        <w:tc>
          <w:tcPr>
            <w:tcW w:w="4938" w:type="dxa"/>
          </w:tcPr>
          <w:p>
            <w:pPr>
              <w:overflowPunct w:val="0"/>
              <w:autoSpaceDE w:val="0"/>
              <w:autoSpaceDN w:val="0"/>
              <w:adjustRightInd w:val="0"/>
              <w:spacing w:after="180"/>
              <w:textAlignment w:val="baseline"/>
              <w:rPr>
                <w:rFonts w:hint="default"/>
                <w:vertAlign w:val="baseline"/>
                <w:lang w:val="en-US" w:eastAsia="zh-CN"/>
              </w:rPr>
            </w:pPr>
            <w:r>
              <w:rPr>
                <w:rFonts w:hint="eastAsia"/>
                <w:vertAlign w:val="baseline"/>
                <w:lang w:val="en-US" w:eastAsia="zh-CN"/>
              </w:rPr>
              <w:t>Mobile VSAT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overflowPunct w:val="0"/>
              <w:autoSpaceDE w:val="0"/>
              <w:autoSpaceDN w:val="0"/>
              <w:adjustRightInd w:val="0"/>
              <w:spacing w:after="180"/>
              <w:textAlignment w:val="baseline"/>
              <w:rPr>
                <w:rFonts w:hint="eastAsia"/>
                <w:lang w:val="en-US" w:eastAsia="zh-CN"/>
              </w:rPr>
            </w:pPr>
            <w:r>
              <w:rPr>
                <w:rFonts w:hint="default"/>
                <w:lang w:val="en-US" w:eastAsia="zh-CN"/>
              </w:rPr>
              <w:t>EN 303 980</w:t>
            </w:r>
          </w:p>
        </w:tc>
        <w:tc>
          <w:tcPr>
            <w:tcW w:w="4938" w:type="dxa"/>
          </w:tcPr>
          <w:p>
            <w:pPr>
              <w:overflowPunct w:val="0"/>
              <w:autoSpaceDE w:val="0"/>
              <w:autoSpaceDN w:val="0"/>
              <w:adjustRightInd w:val="0"/>
              <w:spacing w:after="180"/>
              <w:textAlignment w:val="baseline"/>
              <w:rPr>
                <w:rFonts w:hint="default"/>
                <w:vertAlign w:val="baseline"/>
                <w:lang w:val="en-US" w:eastAsia="zh-CN"/>
              </w:rPr>
            </w:pPr>
            <w:r>
              <w:rPr>
                <w:rFonts w:hint="eastAsia"/>
                <w:vertAlign w:val="baseline"/>
                <w:lang w:val="en-US" w:eastAsia="zh-CN"/>
              </w:rPr>
              <w:t>Fixed and mobile VSAT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overflowPunct w:val="0"/>
              <w:autoSpaceDE w:val="0"/>
              <w:autoSpaceDN w:val="0"/>
              <w:adjustRightInd w:val="0"/>
              <w:spacing w:after="180"/>
              <w:textAlignment w:val="baseline"/>
              <w:rPr>
                <w:rFonts w:hint="eastAsia"/>
                <w:lang w:val="en-US" w:eastAsia="zh-CN"/>
              </w:rPr>
            </w:pPr>
            <w:r>
              <w:rPr>
                <w:rFonts w:hint="default"/>
                <w:lang w:val="en-US" w:eastAsia="zh-CN"/>
              </w:rPr>
              <w:t>EN 303 981</w:t>
            </w:r>
          </w:p>
        </w:tc>
        <w:tc>
          <w:tcPr>
            <w:tcW w:w="4938" w:type="dxa"/>
          </w:tcPr>
          <w:p>
            <w:pPr>
              <w:overflowPunct w:val="0"/>
              <w:autoSpaceDE w:val="0"/>
              <w:autoSpaceDN w:val="0"/>
              <w:adjustRightInd w:val="0"/>
              <w:spacing w:after="180"/>
              <w:textAlignment w:val="baseline"/>
              <w:rPr>
                <w:rFonts w:hint="default"/>
                <w:vertAlign w:val="baseline"/>
                <w:lang w:val="en-US" w:eastAsia="zh-CN"/>
              </w:rPr>
            </w:pPr>
            <w:r>
              <w:rPr>
                <w:rFonts w:hint="eastAsia"/>
                <w:vertAlign w:val="baseline"/>
                <w:lang w:val="en-US" w:eastAsia="zh-CN"/>
              </w:rPr>
              <w:t>Fixed and mobile VSAT</w:t>
            </w:r>
          </w:p>
        </w:tc>
      </w:tr>
    </w:tbl>
    <w:p>
      <w:pPr>
        <w:rPr>
          <w:rFonts w:hint="default"/>
          <w:lang w:val="en-US" w:eastAsia="zh-CN"/>
        </w:rPr>
      </w:pPr>
      <w:r>
        <w:rPr>
          <w:rFonts w:hint="eastAsia"/>
          <w:lang w:val="en-US" w:eastAsia="zh-CN"/>
        </w:rPr>
        <w:t xml:space="preserve">EN 302 340 and EN 302 977 are applicable to mobile VSAT only, and others are for both fixed VSAT and mobile VSAT. Although some requirements are defined based on ECC regulation for mobile VSAT only, off-axis EIRP density, on-axis spurious, off-axis spurious and receiver antenna off-axis performance are the most stringent value selected among the requirements for all VSAT or for mobile VSAT only. From our understanding, since it was defined a common requirement for mobile VSAT and fixed VSAT for Ka band, we can reuse the requirements for fixed VSAT for Ku bands </w:t>
      </w:r>
      <w:r>
        <w:rPr>
          <w:rFonts w:eastAsia="PMingLiU"/>
          <w:sz w:val="20"/>
          <w:szCs w:val="20"/>
          <w:lang w:val="en-US" w:eastAsia="zh-TW"/>
        </w:rPr>
        <w:t>n248 and n247</w:t>
      </w:r>
      <w:r>
        <w:rPr>
          <w:rFonts w:hint="eastAsia"/>
          <w:lang w:val="en-US" w:eastAsia="zh-CN"/>
        </w:rPr>
        <w:t>.</w:t>
      </w:r>
    </w:p>
    <w:p>
      <w:pPr>
        <w:rPr>
          <w:rFonts w:hint="eastAsia" w:eastAsia="宋体"/>
          <w:b/>
          <w:bCs/>
          <w:sz w:val="20"/>
          <w:szCs w:val="20"/>
          <w:lang w:val="en-US" w:eastAsia="zh-CN"/>
        </w:rPr>
      </w:pPr>
      <w:r>
        <w:rPr>
          <w:rFonts w:hint="eastAsia"/>
          <w:b/>
          <w:bCs/>
          <w:sz w:val="20"/>
          <w:szCs w:val="20"/>
          <w:lang w:val="en-US" w:eastAsia="zh-CN"/>
        </w:rPr>
        <w:t xml:space="preserve">Proposal 1: To reuse </w:t>
      </w:r>
      <w:r>
        <w:rPr>
          <w:rFonts w:eastAsia="PMingLiU"/>
          <w:b/>
          <w:bCs/>
          <w:sz w:val="20"/>
          <w:szCs w:val="20"/>
          <w:lang w:val="en-US" w:eastAsia="zh-TW"/>
        </w:rPr>
        <w:t>regulation related requirements related to NS_203N~NS_208N for the fixed VSAT operating in n248 and n247</w:t>
      </w:r>
      <w:r>
        <w:rPr>
          <w:rFonts w:hint="eastAsia" w:eastAsia="宋体"/>
          <w:b/>
          <w:bCs/>
          <w:sz w:val="20"/>
          <w:szCs w:val="20"/>
          <w:lang w:val="en-US" w:eastAsia="zh-CN"/>
        </w:rPr>
        <w:t>.</w:t>
      </w:r>
    </w:p>
    <w:p>
      <w:pPr>
        <w:rPr>
          <w:rFonts w:hint="eastAsia" w:eastAsia="宋体"/>
          <w:b/>
          <w:bCs/>
          <w:sz w:val="20"/>
          <w:szCs w:val="20"/>
          <w:lang w:val="en-US" w:eastAsia="zh-CN"/>
        </w:rPr>
      </w:pP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sz w:val="20"/>
          <w:szCs w:val="18"/>
          <w:lang w:val="en-US" w:eastAsia="zh-CN"/>
        </w:rPr>
      </w:pPr>
      <w:r>
        <w:rPr>
          <w:rFonts w:hint="eastAsia"/>
          <w:sz w:val="24"/>
          <w:szCs w:val="24"/>
          <w:lang w:val="en-US" w:eastAsia="zh-CN"/>
        </w:rPr>
        <w:t>2.2 VSAT with small antennas (e.g., 20x20cm)</w:t>
      </w:r>
    </w:p>
    <w:p>
      <w:pPr>
        <w:pStyle w:val="4"/>
        <w:numPr>
          <w:ilvl w:val="2"/>
          <w:numId w:val="0"/>
        </w:numPr>
        <w:bidi w:val="0"/>
        <w:ind w:leftChars="0" w:right="0" w:rightChars="0"/>
        <w:rPr>
          <w:rFonts w:hint="eastAsia"/>
          <w:lang w:val="en-US" w:eastAsia="zh-CN"/>
        </w:rPr>
      </w:pPr>
      <w:r>
        <w:rPr>
          <w:rFonts w:hint="eastAsia"/>
          <w:lang w:val="en-US" w:eastAsia="zh-CN"/>
        </w:rPr>
        <w:t>2.2.1 New VSAT type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ind w:leftChars="0" w:right="0" w:rightChars="0"/>
              <w:textAlignment w:val="baseline"/>
              <w:rPr>
                <w:rFonts w:eastAsiaTheme="minorEastAsia"/>
                <w:sz w:val="20"/>
                <w:szCs w:val="20"/>
              </w:rPr>
            </w:pPr>
            <w:r>
              <w:rPr>
                <w:sz w:val="20"/>
                <w:szCs w:val="20"/>
              </w:rPr>
              <w:t>Issue 1-2-1: New VSAT type</w:t>
            </w:r>
            <w:r>
              <w:rPr>
                <w:rFonts w:hint="eastAsia" w:ascii="PMingLiU" w:hAnsi="PMingLiU" w:eastAsia="PMingLiU"/>
                <w:sz w:val="20"/>
                <w:szCs w:val="20"/>
                <w:lang w:eastAsia="zh-TW"/>
              </w:rPr>
              <w:t xml:space="preserve"> </w:t>
            </w:r>
          </w:p>
          <w:p>
            <w:pPr>
              <w:pStyle w:val="34"/>
              <w:keepNext/>
              <w:numPr>
                <w:ilvl w:val="0"/>
                <w:numId w:val="11"/>
              </w:numPr>
              <w:overflowPunct/>
              <w:autoSpaceDE/>
              <w:autoSpaceDN w:val="0"/>
              <w:adjustRightInd/>
              <w:spacing w:after="120" w:line="252" w:lineRule="auto"/>
              <w:ind w:left="720" w:firstLineChars="0"/>
              <w:textAlignment w:val="auto"/>
              <w:rPr>
                <w:sz w:val="20"/>
                <w:szCs w:val="20"/>
                <w:lang w:val="en-US"/>
              </w:rPr>
            </w:pPr>
            <w:r>
              <w:rPr>
                <w:sz w:val="20"/>
                <w:szCs w:val="20"/>
                <w:lang w:val="en-US"/>
              </w:rPr>
              <w:t>WF</w:t>
            </w:r>
          </w:p>
          <w:p>
            <w:pPr>
              <w:pStyle w:val="34"/>
              <w:keepNext/>
              <w:numPr>
                <w:ilvl w:val="1"/>
                <w:numId w:val="11"/>
              </w:numPr>
              <w:overflowPunct/>
              <w:autoSpaceDE/>
              <w:autoSpaceDN w:val="0"/>
              <w:adjustRightInd/>
              <w:spacing w:after="120" w:line="254" w:lineRule="auto"/>
              <w:ind w:firstLineChars="0"/>
              <w:textAlignment w:val="auto"/>
              <w:rPr>
                <w:sz w:val="20"/>
                <w:szCs w:val="20"/>
                <w:lang w:val="en-US"/>
              </w:rPr>
            </w:pPr>
            <w:r>
              <w:rPr>
                <w:rFonts w:eastAsia="PMingLiU"/>
                <w:sz w:val="20"/>
                <w:szCs w:val="20"/>
                <w:lang w:val="en-US" w:eastAsia="zh-TW"/>
              </w:rPr>
              <w:t>Study potential new VSAT type(s) for small antenna with the following candidates:</w:t>
            </w:r>
          </w:p>
          <w:p>
            <w:pPr>
              <w:pStyle w:val="34"/>
              <w:keepNext/>
              <w:numPr>
                <w:ilvl w:val="2"/>
                <w:numId w:val="11"/>
              </w:numPr>
              <w:overflowPunct/>
              <w:autoSpaceDE/>
              <w:autoSpaceDN w:val="0"/>
              <w:adjustRightInd/>
              <w:spacing w:after="120" w:line="254" w:lineRule="auto"/>
              <w:ind w:firstLineChars="0"/>
              <w:textAlignment w:val="auto"/>
              <w:rPr>
                <w:sz w:val="20"/>
                <w:szCs w:val="20"/>
                <w:lang w:val="en-US"/>
              </w:rPr>
            </w:pPr>
            <w:r>
              <w:rPr>
                <w:rFonts w:eastAsiaTheme="minorEastAsia"/>
                <w:sz w:val="20"/>
                <w:szCs w:val="20"/>
                <w:lang w:val="en-US" w:eastAsia="zh-TW"/>
              </w:rPr>
              <w:t>VSAT that support LEO only</w:t>
            </w:r>
          </w:p>
          <w:p>
            <w:pPr>
              <w:pStyle w:val="34"/>
              <w:keepNext/>
              <w:numPr>
                <w:ilvl w:val="2"/>
                <w:numId w:val="11"/>
              </w:numPr>
              <w:overflowPunct/>
              <w:autoSpaceDE/>
              <w:autoSpaceDN w:val="0"/>
              <w:adjustRightInd/>
              <w:spacing w:after="120" w:line="254" w:lineRule="auto"/>
              <w:ind w:firstLineChars="0"/>
              <w:textAlignment w:val="auto"/>
              <w:rPr>
                <w:rFonts w:hint="default"/>
                <w:sz w:val="20"/>
                <w:szCs w:val="20"/>
                <w:vertAlign w:val="baseline"/>
                <w:lang w:val="en-US" w:eastAsia="zh-CN"/>
              </w:rPr>
            </w:pPr>
            <w:r>
              <w:rPr>
                <w:rFonts w:eastAsiaTheme="minorEastAsia"/>
                <w:sz w:val="20"/>
                <w:szCs w:val="20"/>
                <w:lang w:val="en-US" w:eastAsia="zh-TW"/>
              </w:rPr>
              <w:t xml:space="preserve">VSAT that </w:t>
            </w:r>
            <w:r>
              <w:rPr>
                <w:rFonts w:eastAsia="PMingLiU"/>
                <w:sz w:val="20"/>
                <w:szCs w:val="20"/>
                <w:lang w:val="en-US" w:eastAsia="zh-TW"/>
              </w:rPr>
              <w:t>s</w:t>
            </w:r>
            <w:r>
              <w:rPr>
                <w:rFonts w:eastAsiaTheme="minorEastAsia"/>
                <w:sz w:val="20"/>
                <w:szCs w:val="20"/>
                <w:lang w:val="en-US" w:eastAsia="zh-TW"/>
              </w:rPr>
              <w:t>upport</w:t>
            </w:r>
            <w:r>
              <w:rPr>
                <w:sz w:val="20"/>
                <w:szCs w:val="20"/>
                <w:lang w:val="en-US" w:eastAsia="zh-TW"/>
              </w:rPr>
              <w:t xml:space="preserve"> both GSO and LEO </w:t>
            </w:r>
          </w:p>
          <w:p>
            <w:pPr>
              <w:pStyle w:val="5"/>
              <w:numPr>
                <w:ilvl w:val="2"/>
                <w:numId w:val="0"/>
              </w:numPr>
              <w:overflowPunct w:val="0"/>
              <w:autoSpaceDE w:val="0"/>
              <w:autoSpaceDN w:val="0"/>
              <w:adjustRightInd w:val="0"/>
              <w:ind w:leftChars="0" w:right="0" w:rightChars="0"/>
              <w:textAlignment w:val="baseline"/>
              <w:rPr>
                <w:sz w:val="20"/>
                <w:szCs w:val="20"/>
                <w:lang w:val="en-US"/>
              </w:rPr>
            </w:pPr>
            <w:r>
              <w:rPr>
                <w:sz w:val="20"/>
                <w:szCs w:val="20"/>
                <w:lang w:val="en-US"/>
              </w:rPr>
              <w:t>Issue 1-2-2: Assumptions for VSAT with small antenna</w:t>
            </w:r>
          </w:p>
          <w:p>
            <w:pPr>
              <w:pStyle w:val="34"/>
              <w:keepNext/>
              <w:numPr>
                <w:ilvl w:val="0"/>
                <w:numId w:val="11"/>
              </w:numPr>
              <w:overflowPunct/>
              <w:autoSpaceDE/>
              <w:autoSpaceDN w:val="0"/>
              <w:adjustRightInd/>
              <w:spacing w:after="120" w:line="252" w:lineRule="auto"/>
              <w:ind w:left="720" w:firstLineChars="0"/>
              <w:textAlignment w:val="auto"/>
              <w:rPr>
                <w:sz w:val="20"/>
                <w:szCs w:val="20"/>
                <w:lang w:val="en-US"/>
              </w:rPr>
            </w:pPr>
            <w:r>
              <w:rPr>
                <w:sz w:val="20"/>
                <w:szCs w:val="20"/>
                <w:lang w:val="en-US"/>
              </w:rPr>
              <w:t>WF</w:t>
            </w:r>
          </w:p>
          <w:p>
            <w:pPr>
              <w:pStyle w:val="34"/>
              <w:keepNext/>
              <w:numPr>
                <w:ilvl w:val="1"/>
                <w:numId w:val="11"/>
              </w:numPr>
              <w:overflowPunct/>
              <w:autoSpaceDE/>
              <w:autoSpaceDN w:val="0"/>
              <w:adjustRightInd/>
              <w:spacing w:after="120" w:line="252" w:lineRule="auto"/>
              <w:ind w:firstLineChars="0"/>
              <w:textAlignment w:val="auto"/>
              <w:rPr>
                <w:sz w:val="20"/>
                <w:szCs w:val="20"/>
                <w:lang w:val="en-US"/>
              </w:rPr>
            </w:pPr>
            <w:r>
              <w:rPr>
                <w:rFonts w:eastAsia="PMingLiU"/>
                <w:sz w:val="20"/>
                <w:szCs w:val="20"/>
                <w:lang w:val="en-US" w:eastAsia="zh-TW"/>
              </w:rPr>
              <w:t>Conduct implementation and feasibility studies for the small antenna considering, but not limited to, the following aspects:</w:t>
            </w:r>
          </w:p>
          <w:p>
            <w:pPr>
              <w:pStyle w:val="34"/>
              <w:keepNext/>
              <w:numPr>
                <w:ilvl w:val="2"/>
                <w:numId w:val="11"/>
              </w:numPr>
              <w:overflowPunct/>
              <w:autoSpaceDE/>
              <w:autoSpaceDN w:val="0"/>
              <w:adjustRightInd/>
              <w:spacing w:after="120" w:line="252" w:lineRule="auto"/>
              <w:ind w:firstLineChars="0"/>
              <w:textAlignment w:val="auto"/>
              <w:rPr>
                <w:rFonts w:hint="default"/>
                <w:sz w:val="20"/>
                <w:szCs w:val="20"/>
                <w:vertAlign w:val="baseline"/>
                <w:lang w:val="en-US" w:eastAsia="zh-CN"/>
              </w:rPr>
            </w:pPr>
            <w:r>
              <w:rPr>
                <w:rFonts w:eastAsia="PMingLiU"/>
                <w:sz w:val="20"/>
                <w:szCs w:val="20"/>
                <w:lang w:val="en-US" w:eastAsia="zh-TW"/>
              </w:rPr>
              <w:t>Antenna size, number of antenna elements, antenna gain, Tx power per element and link budget evaluation for supporting LEO only or supporting both GSO and LEO.</w:t>
            </w:r>
          </w:p>
        </w:tc>
      </w:tr>
    </w:tbl>
    <w:p>
      <w:pPr>
        <w:rPr>
          <w:rFonts w:hint="eastAsia"/>
          <w:lang w:val="en-US" w:eastAsia="zh-CN"/>
        </w:rPr>
      </w:pPr>
      <w:r>
        <w:rPr>
          <w:rFonts w:hint="eastAsia"/>
          <w:lang w:val="en-US" w:eastAsia="zh-CN"/>
        </w:rPr>
        <w:t>For the new VSAT type, the WID already specifies that it is a HD-FDD Mobile VSAT with small antennas, and gives an example antenna size 20x20cm. Regarding satellite type that the new VSAT type with small antennas is communicating with, there are two candidate options were provided in last meeting WF: support LEO only, support both GSO and LEO. There is no concern that VSAT with small antenna can support LEO only. However, whether can support both GSO and LEO needs more discussion. We provide the analysis based on the link budget as follows. It is observed that the min EIRP is 61dBm for VSAT with small antenna communicating with GSO.</w:t>
      </w:r>
    </w:p>
    <w:p>
      <w:pPr>
        <w:jc w:val="center"/>
        <w:rPr>
          <w:rFonts w:hint="default"/>
          <w:b/>
          <w:bCs/>
          <w:lang w:val="en-US" w:eastAsia="zh-CN"/>
        </w:rPr>
      </w:pPr>
      <w:r>
        <w:rPr>
          <w:rFonts w:hint="eastAsia"/>
          <w:b/>
          <w:bCs/>
          <w:lang w:val="en-US" w:eastAsia="zh-CN"/>
        </w:rPr>
        <w:t>Table 2.2-1: Min EIRP based on link budget</w:t>
      </w:r>
    </w:p>
    <w:tbl>
      <w:tblPr>
        <w:tblStyle w:val="23"/>
        <w:tblW w:w="75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57"/>
        <w:gridCol w:w="1364"/>
        <w:gridCol w:w="1121"/>
        <w:gridCol w:w="1485"/>
        <w:gridCol w:w="1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Satellite type</w:t>
            </w:r>
          </w:p>
        </w:tc>
        <w:tc>
          <w:tcPr>
            <w:tcW w:w="24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GSO</w:t>
            </w:r>
          </w:p>
        </w:tc>
        <w:tc>
          <w:tcPr>
            <w:tcW w:w="26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h+R.</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38611.64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967.37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207.10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206.44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175.07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170.93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SAN_AntennaGain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58.50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EIRP_min</w:t>
            </w:r>
            <w:r>
              <w:rPr>
                <w:rFonts w:hint="eastAsia" w:ascii="Times New Roman" w:hAnsi="Times New Roman" w:eastAsia="宋体" w:cs="Times New Roman"/>
                <w:i w:val="0"/>
                <w:iCs w:val="0"/>
                <w:color w:val="000000"/>
                <w:kern w:val="0"/>
                <w:sz w:val="20"/>
                <w:szCs w:val="20"/>
                <w:u w:val="none"/>
                <w:lang w:val="en-US" w:eastAsia="zh-CN" w:bidi="ar"/>
              </w:rPr>
              <w:t xml:space="preserve"> [dBm]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56.93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48.56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41.42 </w:t>
            </w:r>
          </w:p>
        </w:tc>
      </w:tr>
    </w:tbl>
    <w:p>
      <w:pPr>
        <w:rPr>
          <w:rFonts w:hint="default"/>
          <w:b/>
          <w:bCs/>
          <w:lang w:val="en-US" w:eastAsia="zh-CN"/>
        </w:rPr>
      </w:pPr>
      <w:r>
        <w:rPr>
          <w:rFonts w:hint="eastAsia"/>
          <w:b/>
          <w:bCs/>
          <w:lang w:val="en-US" w:eastAsia="zh-CN"/>
        </w:rPr>
        <w:t>Observation 1: Based on link budget, the min EIRP is 61dBm for VSAT with small antenna communicating with GSO.</w:t>
      </w:r>
    </w:p>
    <w:p>
      <w:pPr>
        <w:rPr>
          <w:rFonts w:hint="default"/>
          <w:lang w:val="en-US" w:eastAsia="zh-CN"/>
        </w:rPr>
      </w:pPr>
      <w:r>
        <w:rPr>
          <w:rFonts w:hint="eastAsia"/>
          <w:lang w:val="en-US" w:eastAsia="zh-CN"/>
        </w:rPr>
        <w:t>While min EIRP is 55dBm for VSAT with antenna size 20x20cm with the assumption that conducted power per feed is 4.44 dBm and element antenna gain is 3.5 dBi including the implementation losses based on the calculation in [2]. Thus, it may be difficult for VSAT with antenna size 20x20cm to support GSO. Furthermore, we calculate the required antenna element to achieve 61dBm min EIRP as follows and the min antenna element is 450 to achieve 61dBm min EIRP, which will result in a larger antenna size than 20x20cm. We need to confirm whether a VSAT with small antenna size larger than 20x20cm are in the scope of WID.</w:t>
      </w:r>
    </w:p>
    <w:p>
      <w:pPr>
        <w:jc w:val="center"/>
        <w:rPr>
          <w:rFonts w:hint="default"/>
          <w:lang w:val="en-US" w:eastAsia="zh-CN"/>
        </w:rPr>
      </w:pPr>
      <w:r>
        <w:rPr>
          <w:rFonts w:hint="eastAsia"/>
          <w:b/>
          <w:bCs/>
          <w:lang w:val="en-US" w:eastAsia="zh-CN"/>
        </w:rPr>
        <w:t>Table 2.2-2: The required antenna element</w:t>
      </w:r>
    </w:p>
    <w:tbl>
      <w:tblPr>
        <w:tblStyle w:val="23"/>
        <w:tblW w:w="38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57"/>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EIRP_min</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6</w:t>
            </w:r>
            <w:r>
              <w:rPr>
                <w:rFonts w:hint="eastAsia" w:cs="Times New Roman"/>
                <w:i w:val="0"/>
                <w:iCs w:val="0"/>
                <w:color w:val="auto"/>
                <w:kern w:val="0"/>
                <w:sz w:val="20"/>
                <w:szCs w:val="20"/>
                <w:u w:val="none"/>
                <w:lang w:val="en-US" w:eastAsia="zh-CN" w:bidi="ar"/>
              </w:rPr>
              <w:t>1</w:t>
            </w:r>
            <w:r>
              <w:rPr>
                <w:rFonts w:hint="eastAsia" w:ascii="Times New Roman" w:hAnsi="Times New Roman" w:eastAsia="宋体" w:cs="Times New Roman"/>
                <w:i w:val="0"/>
                <w:iCs w:val="0"/>
                <w:color w:val="auto"/>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Gain_element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Tx_power_perPa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eastAsia="宋体" w:cs="Times New Roman"/>
                <w:i w:val="0"/>
                <w:iCs w:val="0"/>
                <w:color w:val="auto"/>
                <w:kern w:val="0"/>
                <w:sz w:val="20"/>
                <w:szCs w:val="20"/>
                <w:u w:val="none"/>
                <w:lang w:val="en-US" w:eastAsia="zh-CN" w:bidi="ar"/>
              </w:rPr>
              <w:t>Tx_Antenna_size_min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cs="Times New Roman"/>
                <w:i w:val="0"/>
                <w:iCs w:val="0"/>
                <w:color w:val="auto"/>
                <w:kern w:val="0"/>
                <w:sz w:val="20"/>
                <w:szCs w:val="20"/>
                <w:u w:val="none"/>
                <w:lang w:val="en-US" w:eastAsia="zh-CN" w:bidi="ar"/>
              </w:rPr>
              <w:t>449.78</w:t>
            </w:r>
          </w:p>
        </w:tc>
      </w:tr>
    </w:tbl>
    <w:p>
      <w:pPr>
        <w:rPr>
          <w:rFonts w:hint="eastAsia"/>
          <w:b/>
          <w:bCs/>
          <w:lang w:val="en-US" w:eastAsia="zh-CN"/>
        </w:rPr>
      </w:pPr>
      <w:r>
        <w:rPr>
          <w:rFonts w:hint="eastAsia"/>
          <w:b/>
          <w:bCs/>
          <w:lang w:val="en-US" w:eastAsia="zh-CN"/>
        </w:rPr>
        <w:t>Observation 2: It may be difficult for VSAT with antenna size 20x20cm to support GSO.</w:t>
      </w:r>
    </w:p>
    <w:p>
      <w:pPr>
        <w:rPr>
          <w:rFonts w:hint="eastAsia"/>
          <w:b/>
          <w:bCs/>
          <w:lang w:val="en-US" w:eastAsia="zh-CN"/>
        </w:rPr>
      </w:pPr>
      <w:r>
        <w:rPr>
          <w:rFonts w:hint="eastAsia"/>
          <w:b/>
          <w:bCs/>
          <w:lang w:val="en-US" w:eastAsia="zh-CN"/>
        </w:rPr>
        <w:t>Observation 3: The min antenna element is 450 to achieve 61dBm min EIRP.</w:t>
      </w:r>
    </w:p>
    <w:p>
      <w:pPr>
        <w:rPr>
          <w:rFonts w:hint="default"/>
          <w:b/>
          <w:bCs/>
          <w:lang w:val="en-US" w:eastAsia="zh-CN"/>
        </w:rPr>
      </w:pPr>
      <w:r>
        <w:rPr>
          <w:rFonts w:hint="eastAsia"/>
          <w:b/>
          <w:bCs/>
          <w:lang w:val="en-US" w:eastAsia="zh-CN"/>
        </w:rPr>
        <w:t>Proposal 2: Need to confirm whether a VSAT with small antenna size larger than 20x20cm is</w:t>
      </w:r>
      <w:bookmarkStart w:id="11" w:name="_GoBack"/>
      <w:bookmarkEnd w:id="11"/>
      <w:r>
        <w:rPr>
          <w:rFonts w:hint="eastAsia"/>
          <w:b/>
          <w:bCs/>
          <w:lang w:val="en-US" w:eastAsia="zh-CN"/>
        </w:rPr>
        <w:t xml:space="preserve"> in the scope of WID.</w:t>
      </w:r>
    </w:p>
    <w:p>
      <w:pPr>
        <w:pStyle w:val="4"/>
        <w:numPr>
          <w:ilvl w:val="2"/>
          <w:numId w:val="0"/>
        </w:numPr>
        <w:bidi w:val="0"/>
        <w:ind w:leftChars="0" w:right="0" w:rightChars="0"/>
        <w:rPr>
          <w:rFonts w:hint="default"/>
          <w:lang w:val="en-US" w:eastAsia="zh-CN"/>
        </w:rPr>
      </w:pPr>
      <w:r>
        <w:rPr>
          <w:rFonts w:hint="eastAsia"/>
          <w:lang w:val="en-US" w:eastAsia="zh-CN"/>
        </w:rPr>
        <w:t>2.2.2 Specifications impact for HD-FDD VSAT with small antenna</w:t>
      </w:r>
    </w:p>
    <w:p>
      <w:pPr>
        <w:rPr>
          <w:rFonts w:hint="eastAsia"/>
          <w:sz w:val="20"/>
          <w:szCs w:val="18"/>
          <w:lang w:val="en-US" w:eastAsia="zh-CN"/>
        </w:rPr>
      </w:pPr>
      <w:r>
        <w:rPr>
          <w:rFonts w:hint="eastAsia"/>
          <w:sz w:val="20"/>
          <w:szCs w:val="18"/>
          <w:lang w:val="en-US" w:eastAsia="zh-CN"/>
        </w:rPr>
        <w:t>For the new VSAT type, the following UE RF impacts need to be checked for new VSAT type.</w:t>
      </w:r>
    </w:p>
    <w:p>
      <w:pPr>
        <w:jc w:val="center"/>
        <w:rPr>
          <w:rFonts w:hint="default"/>
          <w:b/>
          <w:bCs/>
          <w:lang w:val="en-US" w:eastAsia="zh-CN"/>
        </w:rPr>
      </w:pPr>
      <w:r>
        <w:rPr>
          <w:rFonts w:hint="eastAsia" w:cs="Times New Roman"/>
          <w:b/>
          <w:bCs/>
          <w:kern w:val="2"/>
          <w:sz w:val="20"/>
          <w:szCs w:val="20"/>
          <w:lang w:val="en-US" w:eastAsia="zh-CN" w:bidi="ar-SA"/>
        </w:rPr>
        <w:t>Table 2.2-3: UE RF impacts for new VSAT type</w:t>
      </w:r>
    </w:p>
    <w:tbl>
      <w:tblPr>
        <w:tblStyle w:val="23"/>
        <w:tblW w:w="0" w:type="auto"/>
        <w:tblInd w:w="0" w:type="dxa"/>
        <w:tblLayout w:type="autofit"/>
        <w:tblCellMar>
          <w:top w:w="0" w:type="dxa"/>
          <w:left w:w="70" w:type="dxa"/>
          <w:bottom w:w="0" w:type="dxa"/>
          <w:right w:w="70" w:type="dxa"/>
        </w:tblCellMar>
      </w:tblPr>
      <w:tblGrid>
        <w:gridCol w:w="2732"/>
        <w:gridCol w:w="6566"/>
      </w:tblGrid>
      <w:tr>
        <w:tblPrEx>
          <w:tblCellMar>
            <w:top w:w="0" w:type="dxa"/>
            <w:left w:w="70" w:type="dxa"/>
            <w:bottom w:w="0" w:type="dxa"/>
            <w:right w:w="70" w:type="dxa"/>
          </w:tblCellMar>
        </w:tblPrEx>
        <w:trPr>
          <w:trHeight w:val="310" w:hRule="atLeast"/>
        </w:trPr>
        <w:tc>
          <w:tcPr>
            <w:tcW w:w="273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val="0"/>
              <w:kinsoku/>
              <w:wordWrap/>
              <w:topLinePunct w:val="0"/>
              <w:bidi w:val="0"/>
              <w:snapToGrid/>
              <w:spacing w:beforeLines="0" w:afterLines="0"/>
              <w:rPr>
                <w:rFonts w:hint="eastAsia" w:ascii="Times New Roman" w:hAnsi="Times New Roman" w:eastAsia="宋体" w:cs="Times New Roman"/>
                <w:b/>
                <w:bCs/>
                <w:kern w:val="2"/>
                <w:sz w:val="20"/>
                <w:szCs w:val="20"/>
                <w:lang w:val="en-US" w:eastAsia="fi-FI" w:bidi="ar-SA"/>
              </w:rPr>
            </w:pPr>
            <w:r>
              <w:rPr>
                <w:rFonts w:hint="eastAsia" w:ascii="Times New Roman" w:hAnsi="Times New Roman" w:eastAsia="宋体" w:cs="Times New Roman"/>
                <w:b/>
                <w:bCs/>
                <w:kern w:val="2"/>
                <w:sz w:val="20"/>
                <w:szCs w:val="20"/>
                <w:lang w:val="en-US" w:eastAsia="fi-FI" w:bidi="ar-SA"/>
              </w:rPr>
              <w:t>NR</w:t>
            </w:r>
            <w:r>
              <w:rPr>
                <w:rFonts w:hint="eastAsia" w:ascii="Times New Roman" w:hAnsi="Times New Roman" w:eastAsia="宋体" w:cs="Times New Roman"/>
                <w:b/>
                <w:bCs/>
                <w:kern w:val="2"/>
                <w:sz w:val="20"/>
                <w:szCs w:val="20"/>
                <w:lang w:val="en-US" w:eastAsia="zh-CN" w:bidi="ar-SA"/>
              </w:rPr>
              <w:t>-NTN</w:t>
            </w:r>
            <w:r>
              <w:rPr>
                <w:rFonts w:hint="eastAsia" w:ascii="Times New Roman" w:hAnsi="Times New Roman" w:eastAsia="宋体" w:cs="Times New Roman"/>
                <w:b/>
                <w:bCs/>
                <w:kern w:val="2"/>
                <w:sz w:val="20"/>
                <w:szCs w:val="20"/>
                <w:lang w:val="en-US" w:eastAsia="fi-FI" w:bidi="ar-SA"/>
              </w:rPr>
              <w:t xml:space="preserve"> UE Tx/Rx requirement</w:t>
            </w:r>
          </w:p>
        </w:tc>
        <w:tc>
          <w:tcPr>
            <w:tcW w:w="0" w:type="auto"/>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val="0"/>
              <w:kinsoku/>
              <w:wordWrap/>
              <w:topLinePunct w:val="0"/>
              <w:bidi w:val="0"/>
              <w:snapToGrid/>
              <w:spacing w:beforeLines="0" w:afterLines="0"/>
              <w:rPr>
                <w:rFonts w:hint="default"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fi-FI" w:bidi="ar-SA"/>
              </w:rPr>
              <w:t>Proposal</w:t>
            </w:r>
            <w:r>
              <w:rPr>
                <w:rFonts w:hint="eastAsia" w:ascii="Times New Roman" w:hAnsi="Times New Roman" w:eastAsia="宋体" w:cs="Times New Roman"/>
                <w:b/>
                <w:bCs/>
                <w:kern w:val="2"/>
                <w:sz w:val="20"/>
                <w:szCs w:val="20"/>
                <w:lang w:val="en-US" w:eastAsia="zh-CN" w:bidi="ar-SA"/>
              </w:rPr>
              <w:t>s</w:t>
            </w:r>
            <w:r>
              <w:rPr>
                <w:rFonts w:hint="eastAsia" w:ascii="Times New Roman" w:hAnsi="Times New Roman" w:eastAsia="宋体" w:cs="Times New Roman"/>
                <w:b/>
                <w:bCs/>
                <w:kern w:val="2"/>
                <w:sz w:val="20"/>
                <w:szCs w:val="20"/>
                <w:lang w:val="fi-FI" w:eastAsia="fi-FI" w:bidi="ar-SA"/>
              </w:rPr>
              <w:t xml:space="preserve"> for </w:t>
            </w:r>
            <w:r>
              <w:rPr>
                <w:rFonts w:hint="eastAsia" w:cs="Times New Roman"/>
                <w:b/>
                <w:bCs/>
                <w:kern w:val="2"/>
                <w:sz w:val="20"/>
                <w:szCs w:val="20"/>
                <w:lang w:val="en-US" w:eastAsia="zh-CN" w:bidi="ar-SA"/>
              </w:rPr>
              <w:t>new VSAT type</w:t>
            </w:r>
          </w:p>
        </w:tc>
      </w:tr>
      <w:tr>
        <w:tblPrEx>
          <w:tblCellMar>
            <w:top w:w="0" w:type="dxa"/>
            <w:left w:w="70" w:type="dxa"/>
            <w:bottom w:w="0" w:type="dxa"/>
            <w:right w:w="70" w:type="dxa"/>
          </w:tblCellMar>
        </w:tblPrEx>
        <w:trPr>
          <w:trHeight w:val="31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9.1 General</w:t>
            </w:r>
          </w:p>
        </w:tc>
        <w:tc>
          <w:tcPr>
            <w:tcW w:w="0" w:type="auto"/>
            <w:tcBorders>
              <w:top w:val="nil"/>
              <w:left w:val="nil"/>
              <w:bottom w:val="single" w:color="auto" w:sz="4" w:space="0"/>
              <w:right w:val="single" w:color="auto" w:sz="4" w:space="0"/>
            </w:tcBorders>
            <w:shd w:val="clear" w:color="auto" w:fill="auto"/>
            <w:vAlign w:val="center"/>
          </w:tcPr>
          <w:p>
            <w:pPr>
              <w:pStyle w:val="34"/>
              <w:keepNext w:val="0"/>
              <w:keepLines w:val="0"/>
              <w:pageBreakBefore w:val="0"/>
              <w:widowControl w:val="0"/>
              <w:numPr>
                <w:ilvl w:val="0"/>
                <w:numId w:val="0"/>
              </w:numPr>
              <w:kinsoku/>
              <w:wordWrap/>
              <w:topLinePunct w:val="0"/>
              <w:bidi w:val="0"/>
              <w:snapToGrid/>
              <w:spacing w:beforeLines="0" w:afterLines="0" w:line="259" w:lineRule="auto"/>
              <w:contextualSpacing w:val="0"/>
              <w:rPr>
                <w:rFonts w:hint="default"/>
                <w:sz w:val="20"/>
                <w:szCs w:val="20"/>
                <w:lang w:val="en-US" w:eastAsia="zh-CN"/>
              </w:rPr>
            </w:pPr>
          </w:p>
        </w:tc>
      </w:tr>
      <w:tr>
        <w:tblPrEx>
          <w:tblCellMar>
            <w:top w:w="0" w:type="dxa"/>
            <w:left w:w="70" w:type="dxa"/>
            <w:bottom w:w="0" w:type="dxa"/>
            <w:right w:w="70" w:type="dxa"/>
          </w:tblCellMar>
        </w:tblPrEx>
        <w:trPr>
          <w:trHeight w:val="58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hint="eastAsia" w:eastAsia="宋体"/>
                <w:color w:val="000000"/>
                <w:sz w:val="20"/>
                <w:szCs w:val="20"/>
                <w:lang w:val="en-US" w:eastAsia="zh-CN"/>
              </w:rPr>
            </w:pPr>
            <w:r>
              <w:rPr>
                <w:rFonts w:eastAsia="PMingLiU"/>
                <w:kern w:val="2"/>
                <w:sz w:val="20"/>
                <w:szCs w:val="20"/>
                <w:lang w:eastAsia="zh-TW"/>
              </w:rPr>
              <w:t>9.2 Transmitted power</w:t>
            </w:r>
          </w:p>
        </w:tc>
        <w:tc>
          <w:tcPr>
            <w:tcW w:w="0" w:type="auto"/>
            <w:tcBorders>
              <w:top w:val="nil"/>
              <w:left w:val="nil"/>
              <w:bottom w:val="single" w:color="auto" w:sz="4" w:space="0"/>
              <w:right w:val="single" w:color="auto" w:sz="4" w:space="0"/>
            </w:tcBorders>
            <w:shd w:val="clear" w:color="000000" w:fill="FFFFFF"/>
            <w:vAlign w:val="center"/>
          </w:tcPr>
          <w:p>
            <w:pPr>
              <w:keepNext w:val="0"/>
              <w:keepLines w:val="0"/>
              <w:pageBreakBefore w:val="0"/>
              <w:widowControl w:val="0"/>
              <w:kinsoku/>
              <w:wordWrap/>
              <w:topLinePunct w:val="0"/>
              <w:bidi w:val="0"/>
              <w:snapToGrid/>
              <w:spacing w:beforeLines="0" w:afterLines="0"/>
              <w:rPr>
                <w:rFonts w:hint="eastAsia"/>
                <w:color w:val="000000"/>
                <w:sz w:val="20"/>
                <w:szCs w:val="20"/>
                <w:lang w:val="en-US" w:eastAsia="zh-CN"/>
              </w:rPr>
            </w:pPr>
          </w:p>
        </w:tc>
      </w:tr>
      <w:tr>
        <w:tblPrEx>
          <w:tblCellMar>
            <w:top w:w="0" w:type="dxa"/>
            <w:left w:w="70" w:type="dxa"/>
            <w:bottom w:w="0" w:type="dxa"/>
            <w:right w:w="70" w:type="dxa"/>
          </w:tblCellMar>
        </w:tblPrEx>
        <w:trPr>
          <w:trHeight w:val="58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9.2.1 </w:t>
            </w:r>
            <w:r>
              <w:rPr>
                <w:rFonts w:eastAsia="PMingLiU"/>
                <w:kern w:val="2"/>
                <w:sz w:val="20"/>
                <w:szCs w:val="20"/>
                <w:lang w:val="en-US" w:eastAsia="zh-TW"/>
              </w:rPr>
              <w:t>NTN VSAT maximum output power</w:t>
            </w:r>
          </w:p>
        </w:tc>
        <w:tc>
          <w:tcPr>
            <w:tcW w:w="0" w:type="auto"/>
            <w:tcBorders>
              <w:top w:val="nil"/>
              <w:left w:val="nil"/>
              <w:bottom w:val="single" w:color="auto" w:sz="4" w:space="0"/>
              <w:right w:val="single" w:color="auto" w:sz="4" w:space="0"/>
            </w:tcBorders>
            <w:shd w:val="clear" w:color="000000" w:fill="FFFFFF"/>
            <w:vAlign w:val="center"/>
          </w:tcPr>
          <w:p>
            <w:pPr>
              <w:keepNext w:val="0"/>
              <w:keepLines w:val="0"/>
              <w:pageBreakBefore w:val="0"/>
              <w:widowControl w:val="0"/>
              <w:kinsoku/>
              <w:wordWrap/>
              <w:topLinePunct w:val="0"/>
              <w:bidi w:val="0"/>
              <w:snapToGrid/>
              <w:spacing w:beforeLines="0" w:afterLines="0"/>
              <w:rPr>
                <w:rFonts w:hint="default"/>
                <w:color w:val="000000"/>
                <w:sz w:val="20"/>
                <w:szCs w:val="20"/>
                <w:lang w:val="en-US" w:eastAsia="zh-CN"/>
              </w:rPr>
            </w:pPr>
            <w:r>
              <w:rPr>
                <w:rFonts w:hint="eastAsia"/>
                <w:color w:val="000000"/>
                <w:sz w:val="20"/>
                <w:szCs w:val="20"/>
                <w:lang w:val="en-US" w:eastAsia="zh-CN"/>
              </w:rPr>
              <w:t>The following requirements need to be defined for the new VSAT type:</w:t>
            </w:r>
          </w:p>
          <w:p>
            <w:pPr>
              <w:pStyle w:val="34"/>
              <w:keepNext w:val="0"/>
              <w:keepLines w:val="0"/>
              <w:pageBreakBefore w:val="0"/>
              <w:widowControl w:val="0"/>
              <w:numPr>
                <w:ilvl w:val="0"/>
                <w:numId w:val="13"/>
              </w:numPr>
              <w:kinsoku/>
              <w:wordWrap/>
              <w:topLinePunct w:val="0"/>
              <w:bidi w:val="0"/>
              <w:snapToGrid/>
              <w:spacing w:beforeLines="0" w:afterLines="0" w:line="259" w:lineRule="auto"/>
              <w:contextualSpacing w:val="0"/>
              <w:rPr>
                <w:sz w:val="20"/>
                <w:szCs w:val="20"/>
                <w:lang w:eastAsia="zh-CN"/>
              </w:rPr>
            </w:pPr>
            <w:r>
              <w:rPr>
                <w:sz w:val="20"/>
                <w:szCs w:val="20"/>
                <w:lang w:eastAsia="zh-CN"/>
              </w:rPr>
              <w:t>Minimum peak EIRP for Fixed VSAT</w:t>
            </w:r>
          </w:p>
          <w:p>
            <w:pPr>
              <w:pStyle w:val="34"/>
              <w:keepNext w:val="0"/>
              <w:keepLines w:val="0"/>
              <w:pageBreakBefore w:val="0"/>
              <w:widowControl w:val="0"/>
              <w:numPr>
                <w:ilvl w:val="0"/>
                <w:numId w:val="13"/>
              </w:numPr>
              <w:kinsoku/>
              <w:wordWrap/>
              <w:topLinePunct w:val="0"/>
              <w:bidi w:val="0"/>
              <w:snapToGrid/>
              <w:spacing w:beforeLines="0" w:afterLines="0" w:line="259" w:lineRule="auto"/>
              <w:contextualSpacing w:val="0"/>
              <w:rPr>
                <w:sz w:val="20"/>
                <w:szCs w:val="20"/>
                <w:lang w:eastAsia="zh-CN"/>
              </w:rPr>
            </w:pPr>
            <w:r>
              <w:rPr>
                <w:sz w:val="20"/>
                <w:szCs w:val="20"/>
                <w:lang w:eastAsia="zh-CN"/>
              </w:rPr>
              <w:t>Maximum output power limits for Fixed VSAT</w:t>
            </w:r>
          </w:p>
          <w:p>
            <w:pPr>
              <w:pStyle w:val="34"/>
              <w:keepNext w:val="0"/>
              <w:keepLines w:val="0"/>
              <w:pageBreakBefore w:val="0"/>
              <w:widowControl w:val="0"/>
              <w:numPr>
                <w:ilvl w:val="0"/>
                <w:numId w:val="13"/>
              </w:numPr>
              <w:kinsoku/>
              <w:wordWrap/>
              <w:topLinePunct w:val="0"/>
              <w:bidi w:val="0"/>
              <w:snapToGrid/>
              <w:spacing w:beforeLines="0" w:afterLines="0" w:line="259" w:lineRule="auto"/>
              <w:contextualSpacing w:val="0"/>
              <w:rPr>
                <w:sz w:val="20"/>
                <w:szCs w:val="20"/>
                <w:lang w:eastAsia="zh-CN"/>
              </w:rPr>
            </w:pPr>
            <w:r>
              <w:rPr>
                <w:sz w:val="20"/>
                <w:szCs w:val="20"/>
                <w:lang w:eastAsia="zh-CN"/>
              </w:rPr>
              <w:t>Minimum peak EIRP for Mobile VSAT</w:t>
            </w:r>
          </w:p>
          <w:p>
            <w:pPr>
              <w:pStyle w:val="34"/>
              <w:keepNext w:val="0"/>
              <w:keepLines w:val="0"/>
              <w:pageBreakBefore w:val="0"/>
              <w:widowControl w:val="0"/>
              <w:numPr>
                <w:ilvl w:val="0"/>
                <w:numId w:val="13"/>
              </w:numPr>
              <w:kinsoku/>
              <w:wordWrap/>
              <w:topLinePunct w:val="0"/>
              <w:bidi w:val="0"/>
              <w:snapToGrid/>
              <w:spacing w:beforeLines="0" w:afterLines="0" w:line="259" w:lineRule="auto"/>
              <w:contextualSpacing w:val="0"/>
              <w:rPr>
                <w:rFonts w:hint="default" w:eastAsia="宋体"/>
                <w:color w:val="000000"/>
                <w:sz w:val="20"/>
                <w:szCs w:val="20"/>
                <w:lang w:val="en-US" w:eastAsia="zh-CN"/>
              </w:rPr>
            </w:pPr>
            <w:r>
              <w:rPr>
                <w:sz w:val="20"/>
                <w:szCs w:val="20"/>
                <w:lang w:eastAsia="zh-CN"/>
              </w:rPr>
              <w:t>Maximum output power limits for Mobile VSAT</w:t>
            </w:r>
          </w:p>
        </w:tc>
      </w:tr>
      <w:tr>
        <w:tblPrEx>
          <w:tblCellMar>
            <w:top w:w="0" w:type="dxa"/>
            <w:left w:w="70" w:type="dxa"/>
            <w:bottom w:w="0" w:type="dxa"/>
            <w:right w:w="70" w:type="dxa"/>
          </w:tblCellMar>
        </w:tblPrEx>
        <w:trPr>
          <w:trHeight w:val="62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9.2.2 </w:t>
            </w:r>
            <w:r>
              <w:rPr>
                <w:rFonts w:eastAsia="PMingLiU"/>
                <w:kern w:val="2"/>
                <w:sz w:val="20"/>
                <w:szCs w:val="20"/>
                <w:lang w:val="en-US" w:eastAsia="zh-TW"/>
              </w:rPr>
              <w:t>Off-axis EIRP emission density limit within the operating band</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9.2.3 </w:t>
            </w:r>
            <w:r>
              <w:rPr>
                <w:rFonts w:eastAsia="PMingLiU"/>
                <w:kern w:val="2"/>
                <w:sz w:val="20"/>
                <w:szCs w:val="20"/>
                <w:lang w:val="en-US" w:eastAsia="zh-TW"/>
              </w:rPr>
              <w:t>Configured transmitted power</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9.3 </w:t>
            </w:r>
            <w:r>
              <w:rPr>
                <w:rFonts w:eastAsia="PMingLiU"/>
                <w:kern w:val="2"/>
                <w:sz w:val="20"/>
                <w:szCs w:val="20"/>
                <w:lang w:val="en-US" w:eastAsia="zh-TW"/>
              </w:rPr>
              <w:t>Output power dynamics</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eastAsia="Times New Roman"/>
                <w:color w:val="000000"/>
                <w:sz w:val="20"/>
                <w:szCs w:val="20"/>
                <w:lang w:val="en-US"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eastAsia="fi-FI"/>
              </w:rPr>
            </w:pPr>
            <w:r>
              <w:rPr>
                <w:rFonts w:eastAsia="PMingLiU"/>
                <w:kern w:val="2"/>
                <w:sz w:val="20"/>
                <w:szCs w:val="20"/>
                <w:lang w:eastAsia="zh-TW"/>
              </w:rPr>
              <w:t xml:space="preserve">9.4 </w:t>
            </w:r>
            <w:r>
              <w:rPr>
                <w:rFonts w:eastAsia="PMingLiU"/>
                <w:kern w:val="2"/>
                <w:sz w:val="20"/>
                <w:szCs w:val="20"/>
                <w:lang w:val="en-US" w:eastAsia="zh-TW"/>
              </w:rPr>
              <w:t>Transmitter signal quality</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eastAsia"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9.5 </w:t>
            </w:r>
            <w:r>
              <w:rPr>
                <w:rFonts w:eastAsia="PMingLiU"/>
                <w:kern w:val="2"/>
                <w:sz w:val="20"/>
                <w:szCs w:val="20"/>
                <w:lang w:val="en-US" w:eastAsia="zh-TW"/>
              </w:rPr>
              <w:t>Output RF spectrum emissions</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eastAsia"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9.5.1 </w:t>
            </w:r>
            <w:r>
              <w:rPr>
                <w:rFonts w:eastAsia="PMingLiU"/>
                <w:kern w:val="2"/>
                <w:sz w:val="20"/>
                <w:szCs w:val="20"/>
                <w:lang w:val="en-US" w:eastAsia="zh-TW"/>
              </w:rPr>
              <w:t>Occupied bandwidth</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eastAsia"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hint="default" w:eastAsia="宋体"/>
                <w:color w:val="000000"/>
                <w:sz w:val="20"/>
                <w:szCs w:val="20"/>
                <w:lang w:val="en-US" w:eastAsia="zh-CN"/>
              </w:rPr>
            </w:pPr>
            <w:r>
              <w:rPr>
                <w:rFonts w:eastAsia="PMingLiU"/>
                <w:kern w:val="2"/>
                <w:sz w:val="20"/>
                <w:szCs w:val="20"/>
                <w:lang w:eastAsia="zh-TW"/>
              </w:rPr>
              <w:t xml:space="preserve">9.5.2 </w:t>
            </w:r>
            <w:r>
              <w:rPr>
                <w:rFonts w:eastAsia="PMingLiU"/>
                <w:kern w:val="2"/>
                <w:sz w:val="20"/>
                <w:szCs w:val="20"/>
                <w:lang w:val="en-US" w:eastAsia="zh-TW"/>
              </w:rPr>
              <w:t>Out of Band Emissions</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eastAsia"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9.5.2.1 </w:t>
            </w:r>
            <w:r>
              <w:rPr>
                <w:rFonts w:eastAsia="PMingLiU"/>
                <w:kern w:val="2"/>
                <w:sz w:val="20"/>
                <w:szCs w:val="20"/>
                <w:lang w:val="en-US" w:eastAsia="zh-TW"/>
              </w:rPr>
              <w:t>General</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color w:val="000000"/>
                <w:sz w:val="20"/>
                <w:szCs w:val="20"/>
                <w:lang w:val="en-US" w:eastAsia="fi-FI"/>
              </w:rPr>
            </w:pPr>
          </w:p>
        </w:tc>
      </w:tr>
      <w:tr>
        <w:tblPrEx>
          <w:tblCellMar>
            <w:top w:w="0" w:type="dxa"/>
            <w:left w:w="70" w:type="dxa"/>
            <w:bottom w:w="0" w:type="dxa"/>
            <w:right w:w="70" w:type="dxa"/>
          </w:tblCellMar>
        </w:tblPrEx>
        <w:trPr>
          <w:trHeight w:val="58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9.5.2.2 </w:t>
            </w:r>
            <w:r>
              <w:rPr>
                <w:rFonts w:eastAsia="PMingLiU"/>
                <w:kern w:val="2"/>
                <w:sz w:val="20"/>
                <w:szCs w:val="20"/>
                <w:lang w:val="en-US" w:eastAsia="zh-TW"/>
              </w:rPr>
              <w:t>Spectrum emission mask</w:t>
            </w:r>
          </w:p>
        </w:tc>
        <w:tc>
          <w:tcPr>
            <w:tcW w:w="0" w:type="auto"/>
            <w:tcBorders>
              <w:top w:val="nil"/>
              <w:left w:val="nil"/>
              <w:bottom w:val="single" w:color="auto" w:sz="4" w:space="0"/>
              <w:right w:val="single" w:color="auto" w:sz="4" w:space="0"/>
            </w:tcBorders>
            <w:shd w:val="clear" w:color="000000" w:fill="FFFFFF"/>
            <w:vAlign w:val="center"/>
          </w:tcPr>
          <w:p>
            <w:pPr>
              <w:keepNext w:val="0"/>
              <w:keepLines w:val="0"/>
              <w:pageBreakBefore w:val="0"/>
              <w:widowControl w:val="0"/>
              <w:kinsoku/>
              <w:wordWrap/>
              <w:topLinePunct w:val="0"/>
              <w:bidi w:val="0"/>
              <w:snapToGrid/>
              <w:spacing w:beforeLines="0" w:afterLines="0"/>
              <w:rPr>
                <w:rFonts w:eastAsia="Times New Roman"/>
                <w:color w:val="000000"/>
                <w:sz w:val="20"/>
                <w:szCs w:val="20"/>
                <w:lang w:eastAsia="fi-FI"/>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9.5.2.3 </w:t>
            </w:r>
            <w:r>
              <w:rPr>
                <w:rFonts w:eastAsia="PMingLiU"/>
                <w:kern w:val="2"/>
                <w:sz w:val="20"/>
                <w:szCs w:val="20"/>
                <w:lang w:val="en-US" w:eastAsia="zh-TW"/>
              </w:rPr>
              <w:t>Adjacent channel leakage ratio</w:t>
            </w:r>
          </w:p>
        </w:tc>
        <w:tc>
          <w:tcPr>
            <w:tcW w:w="0" w:type="auto"/>
            <w:tcBorders>
              <w:top w:val="nil"/>
              <w:left w:val="nil"/>
              <w:bottom w:val="single" w:color="auto" w:sz="4" w:space="0"/>
              <w:right w:val="single" w:color="auto" w:sz="4" w:space="0"/>
            </w:tcBorders>
            <w:shd w:val="clear" w:color="000000" w:fill="FFFFFF"/>
            <w:vAlign w:val="center"/>
          </w:tcPr>
          <w:p>
            <w:pPr>
              <w:keepNext w:val="0"/>
              <w:keepLines w:val="0"/>
              <w:pageBreakBefore w:val="0"/>
              <w:widowControl w:val="0"/>
              <w:kinsoku/>
              <w:wordWrap/>
              <w:topLinePunct w:val="0"/>
              <w:bidi w:val="0"/>
              <w:snapToGrid/>
              <w:spacing w:beforeLines="0" w:afterLines="0"/>
              <w:rPr>
                <w:rFonts w:hint="default"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9.5.3 </w:t>
            </w:r>
            <w:r>
              <w:rPr>
                <w:rFonts w:eastAsia="PMingLiU"/>
                <w:kern w:val="2"/>
                <w:sz w:val="20"/>
                <w:szCs w:val="20"/>
                <w:lang w:val="en-US" w:eastAsia="zh-TW"/>
              </w:rPr>
              <w:t>Spurious Emissions</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color w:val="000000"/>
                <w:sz w:val="20"/>
                <w:szCs w:val="20"/>
                <w:lang w:val="en-US" w:eastAsia="zh-CN"/>
              </w:rPr>
            </w:pPr>
            <w:r>
              <w:rPr>
                <w:rFonts w:hint="eastAsia"/>
                <w:color w:val="000000"/>
                <w:sz w:val="20"/>
                <w:szCs w:val="20"/>
                <w:lang w:val="en-US" w:eastAsia="zh-CN"/>
              </w:rPr>
              <w:t>This requirement shall be checked whether it is applicable to small antenna size.</w:t>
            </w:r>
          </w:p>
        </w:tc>
      </w:tr>
      <w:tr>
        <w:trPr>
          <w:trHeight w:val="87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hint="default" w:eastAsia="宋体"/>
                <w:color w:val="000000"/>
                <w:sz w:val="20"/>
                <w:szCs w:val="20"/>
                <w:lang w:val="en-US" w:eastAsia="zh-CN"/>
              </w:rPr>
            </w:pPr>
            <w:r>
              <w:rPr>
                <w:rFonts w:eastAsia="PMingLiU"/>
                <w:kern w:val="2"/>
                <w:sz w:val="20"/>
                <w:szCs w:val="20"/>
                <w:lang w:eastAsia="zh-TW"/>
              </w:rPr>
              <w:t xml:space="preserve">9.6 </w:t>
            </w:r>
            <w:r>
              <w:rPr>
                <w:rFonts w:eastAsia="PMingLiU"/>
                <w:kern w:val="2"/>
                <w:sz w:val="20"/>
                <w:szCs w:val="20"/>
                <w:lang w:val="en-US" w:eastAsia="zh-TW"/>
              </w:rPr>
              <w:t>Antenna pointing accuracy and performance</w:t>
            </w:r>
          </w:p>
        </w:tc>
        <w:tc>
          <w:tcPr>
            <w:tcW w:w="0" w:type="auto"/>
            <w:tcBorders>
              <w:top w:val="nil"/>
              <w:left w:val="nil"/>
              <w:bottom w:val="single" w:color="auto" w:sz="4" w:space="0"/>
              <w:right w:val="single" w:color="auto" w:sz="4" w:space="0"/>
            </w:tcBorders>
            <w:shd w:val="clear" w:color="000000" w:fill="FFFFFF"/>
            <w:vAlign w:val="center"/>
          </w:tcPr>
          <w:p>
            <w:pPr>
              <w:keepNext w:val="0"/>
              <w:keepLines w:val="0"/>
              <w:pageBreakBefore w:val="0"/>
              <w:widowControl w:val="0"/>
              <w:kinsoku/>
              <w:wordWrap/>
              <w:topLinePunct w:val="0"/>
              <w:bidi w:val="0"/>
              <w:snapToGrid/>
              <w:spacing w:beforeLines="0" w:afterLines="0"/>
              <w:rPr>
                <w:rFonts w:hint="default"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keepNext w:val="0"/>
              <w:keepLines w:val="0"/>
              <w:pageBreakBefore w:val="0"/>
              <w:widowControl w:val="0"/>
              <w:kinsoku/>
              <w:wordWrap/>
              <w:topLinePunct w:val="0"/>
              <w:bidi w:val="0"/>
              <w:snapToGrid/>
              <w:spacing w:beforeLines="0" w:afterLines="0"/>
              <w:rPr>
                <w:rFonts w:eastAsia="Times New Roman"/>
                <w:color w:val="000000"/>
                <w:sz w:val="20"/>
                <w:szCs w:val="20"/>
                <w:lang w:val="fi-FI" w:eastAsia="fi-FI"/>
              </w:rPr>
            </w:pPr>
            <w:r>
              <w:rPr>
                <w:rFonts w:eastAsia="PMingLiU"/>
                <w:kern w:val="2"/>
                <w:sz w:val="20"/>
                <w:szCs w:val="20"/>
                <w:lang w:eastAsia="zh-TW"/>
              </w:rPr>
              <w:t xml:space="preserve">9.7 </w:t>
            </w:r>
            <w:r>
              <w:rPr>
                <w:rFonts w:eastAsia="PMingLiU"/>
                <w:kern w:val="2"/>
                <w:sz w:val="20"/>
                <w:szCs w:val="20"/>
                <w:lang w:val="en-US" w:eastAsia="zh-TW"/>
              </w:rPr>
              <w:t>Additional regional requirements indicated by NS</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eastAsia"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pStyle w:val="58"/>
              <w:keepNext w:val="0"/>
              <w:keepLines w:val="0"/>
              <w:pageBreakBefore w:val="0"/>
              <w:widowControl w:val="0"/>
              <w:kinsoku/>
              <w:wordWrap/>
              <w:overflowPunct w:val="0"/>
              <w:topLinePunct w:val="0"/>
              <w:autoSpaceDE w:val="0"/>
              <w:autoSpaceDN w:val="0"/>
              <w:bidi w:val="0"/>
              <w:adjustRightInd w:val="0"/>
              <w:snapToGrid/>
              <w:spacing w:beforeLines="0" w:afterLines="0" w:line="360" w:lineRule="auto"/>
              <w:textAlignment w:val="baseline"/>
              <w:rPr>
                <w:rFonts w:eastAsia="Times New Roman"/>
                <w:color w:val="000000"/>
                <w:sz w:val="20"/>
                <w:szCs w:val="20"/>
                <w:lang w:val="fi-FI" w:eastAsia="fi-FI"/>
              </w:rPr>
            </w:pPr>
            <w:r>
              <w:rPr>
                <w:rFonts w:ascii="Times New Roman" w:hAnsi="Times New Roman" w:eastAsia="Yu Mincho"/>
                <w:sz w:val="20"/>
                <w:szCs w:val="20"/>
                <w:lang w:val="en-GB"/>
              </w:rPr>
              <w:t>10.1 General</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eastAsia="宋体"/>
                <w:color w:val="000000"/>
                <w:sz w:val="20"/>
                <w:szCs w:val="20"/>
                <w:lang w:val="en-US" w:eastAsia="zh-CN"/>
              </w:rPr>
            </w:pPr>
          </w:p>
        </w:tc>
      </w:tr>
      <w:tr>
        <w:tblPrEx>
          <w:tblCellMar>
            <w:top w:w="0" w:type="dxa"/>
            <w:left w:w="70" w:type="dxa"/>
            <w:bottom w:w="0" w:type="dxa"/>
            <w:right w:w="70" w:type="dxa"/>
          </w:tblCellMar>
        </w:tblPrEx>
        <w:trPr>
          <w:trHeight w:val="87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pStyle w:val="58"/>
              <w:keepNext w:val="0"/>
              <w:keepLines w:val="0"/>
              <w:pageBreakBefore w:val="0"/>
              <w:widowControl w:val="0"/>
              <w:kinsoku/>
              <w:wordWrap/>
              <w:overflowPunct w:val="0"/>
              <w:topLinePunct w:val="0"/>
              <w:autoSpaceDE w:val="0"/>
              <w:autoSpaceDN w:val="0"/>
              <w:bidi w:val="0"/>
              <w:adjustRightInd w:val="0"/>
              <w:snapToGrid/>
              <w:spacing w:beforeLines="0" w:afterLines="0" w:line="360" w:lineRule="auto"/>
              <w:textAlignment w:val="baseline"/>
              <w:rPr>
                <w:rFonts w:hint="default" w:eastAsia="宋体"/>
                <w:color w:val="000000"/>
                <w:sz w:val="20"/>
                <w:szCs w:val="20"/>
                <w:lang w:val="en-US" w:eastAsia="zh-CN"/>
              </w:rPr>
            </w:pPr>
            <w:r>
              <w:rPr>
                <w:rFonts w:ascii="Times New Roman" w:hAnsi="Times New Roman" w:eastAsia="Yu Mincho"/>
                <w:sz w:val="20"/>
                <w:szCs w:val="20"/>
                <w:lang w:val="en-GB"/>
              </w:rPr>
              <w:t xml:space="preserve">10.2 </w:t>
            </w:r>
            <w:r>
              <w:rPr>
                <w:rFonts w:ascii="Times New Roman" w:hAnsi="Times New Roman" w:eastAsia="Yu Mincho"/>
                <w:sz w:val="20"/>
                <w:szCs w:val="20"/>
              </w:rPr>
              <w:t>Polarization characteristics</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pStyle w:val="58"/>
              <w:keepNext w:val="0"/>
              <w:keepLines w:val="0"/>
              <w:pageBreakBefore w:val="0"/>
              <w:widowControl w:val="0"/>
              <w:kinsoku/>
              <w:wordWrap/>
              <w:overflowPunct w:val="0"/>
              <w:topLinePunct w:val="0"/>
              <w:autoSpaceDE w:val="0"/>
              <w:autoSpaceDN w:val="0"/>
              <w:bidi w:val="0"/>
              <w:adjustRightInd w:val="0"/>
              <w:snapToGrid/>
              <w:spacing w:beforeLines="0" w:afterLines="0" w:line="360" w:lineRule="auto"/>
              <w:textAlignment w:val="baseline"/>
              <w:rPr>
                <w:rFonts w:hint="default" w:eastAsia="宋体"/>
                <w:color w:val="000000"/>
                <w:sz w:val="20"/>
                <w:szCs w:val="20"/>
                <w:lang w:val="en-US" w:eastAsia="zh-CN"/>
              </w:rPr>
            </w:pPr>
            <w:r>
              <w:rPr>
                <w:rFonts w:ascii="Times New Roman" w:hAnsi="Times New Roman" w:eastAsia="Yu Mincho"/>
                <w:sz w:val="20"/>
                <w:szCs w:val="20"/>
                <w:lang w:val="en-GB"/>
              </w:rPr>
              <w:t xml:space="preserve">10.3 </w:t>
            </w:r>
            <w:r>
              <w:rPr>
                <w:rFonts w:ascii="Times New Roman" w:hAnsi="Times New Roman" w:eastAsia="Yu Mincho"/>
                <w:sz w:val="20"/>
                <w:szCs w:val="20"/>
              </w:rPr>
              <w:t>OTA reference sensitivity level</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eastAsia="Times New Roman"/>
                <w:color w:val="000000"/>
                <w:sz w:val="20"/>
                <w:szCs w:val="20"/>
                <w:lang w:val="en-US" w:eastAsia="fi-FI"/>
              </w:rPr>
            </w:pPr>
            <w:r>
              <w:rPr>
                <w:rFonts w:hint="eastAsia"/>
                <w:color w:val="000000"/>
                <w:sz w:val="20"/>
                <w:szCs w:val="20"/>
                <w:lang w:val="en-US" w:eastAsia="zh-CN"/>
              </w:rPr>
              <w:t>This requirement shall be defined for the new VSAT type.</w:t>
            </w:r>
          </w:p>
        </w:tc>
      </w:tr>
      <w:tr>
        <w:tblPrEx>
          <w:tblCellMar>
            <w:top w:w="0" w:type="dxa"/>
            <w:left w:w="70" w:type="dxa"/>
            <w:bottom w:w="0" w:type="dxa"/>
            <w:right w:w="70" w:type="dxa"/>
          </w:tblCellMar>
        </w:tblPrEx>
        <w:trPr>
          <w:trHeight w:val="870" w:hRule="atLeast"/>
        </w:trPr>
        <w:tc>
          <w:tcPr>
            <w:tcW w:w="2732" w:type="dxa"/>
            <w:tcBorders>
              <w:top w:val="nil"/>
              <w:left w:val="single" w:color="auto" w:sz="4" w:space="0"/>
              <w:bottom w:val="single" w:color="auto" w:sz="4" w:space="0"/>
              <w:right w:val="single" w:color="auto" w:sz="4" w:space="0"/>
            </w:tcBorders>
            <w:shd w:val="clear" w:color="000000" w:fill="FFFFFF"/>
            <w:vAlign w:val="top"/>
          </w:tcPr>
          <w:p>
            <w:pPr>
              <w:pStyle w:val="58"/>
              <w:keepNext w:val="0"/>
              <w:keepLines w:val="0"/>
              <w:pageBreakBefore w:val="0"/>
              <w:widowControl w:val="0"/>
              <w:kinsoku/>
              <w:wordWrap/>
              <w:overflowPunct w:val="0"/>
              <w:topLinePunct w:val="0"/>
              <w:autoSpaceDE w:val="0"/>
              <w:autoSpaceDN w:val="0"/>
              <w:bidi w:val="0"/>
              <w:adjustRightInd w:val="0"/>
              <w:snapToGrid/>
              <w:spacing w:beforeLines="0" w:afterLines="0" w:line="360" w:lineRule="auto"/>
              <w:textAlignment w:val="baseline"/>
              <w:rPr>
                <w:rFonts w:hint="eastAsia" w:ascii="Times New Roman" w:hAnsi="Times New Roman" w:eastAsia="Times New Roman" w:cs="Times New Roman"/>
                <w:color w:val="000000"/>
                <w:kern w:val="2"/>
                <w:sz w:val="20"/>
                <w:szCs w:val="20"/>
                <w:lang w:val="en-US" w:eastAsia="zh-CN" w:bidi="ar-SA"/>
              </w:rPr>
            </w:pPr>
            <w:r>
              <w:rPr>
                <w:rFonts w:ascii="Times New Roman" w:hAnsi="Times New Roman" w:eastAsia="Yu Mincho"/>
                <w:sz w:val="20"/>
                <w:szCs w:val="20"/>
                <w:lang w:val="en-GB"/>
              </w:rPr>
              <w:t xml:space="preserve">10.4 </w:t>
            </w:r>
            <w:r>
              <w:rPr>
                <w:rFonts w:ascii="Times New Roman" w:hAnsi="Times New Roman" w:eastAsia="Yu Mincho"/>
                <w:sz w:val="20"/>
                <w:szCs w:val="20"/>
              </w:rPr>
              <w:t>Maximum input level</w:t>
            </w:r>
          </w:p>
        </w:tc>
        <w:tc>
          <w:tcPr>
            <w:tcW w:w="0" w:type="auto"/>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This requirement shall be defined for the new VSAT type.</w:t>
            </w:r>
          </w:p>
        </w:tc>
      </w:tr>
      <w:tr>
        <w:tblPrEx>
          <w:tblCellMar>
            <w:top w:w="0" w:type="dxa"/>
            <w:left w:w="70" w:type="dxa"/>
            <w:bottom w:w="0" w:type="dxa"/>
            <w:right w:w="70" w:type="dxa"/>
          </w:tblCellMar>
        </w:tblPrEx>
        <w:trPr>
          <w:trHeight w:val="870" w:hRule="atLeast"/>
        </w:trPr>
        <w:tc>
          <w:tcPr>
            <w:tcW w:w="2732" w:type="dxa"/>
            <w:tcBorders>
              <w:top w:val="single" w:color="auto" w:sz="4" w:space="0"/>
              <w:left w:val="single" w:color="auto" w:sz="4" w:space="0"/>
              <w:bottom w:val="single" w:color="auto" w:sz="4" w:space="0"/>
              <w:right w:val="single" w:color="auto" w:sz="4" w:space="0"/>
            </w:tcBorders>
            <w:shd w:val="clear" w:color="000000" w:fill="FFFFFF"/>
            <w:vAlign w:val="top"/>
          </w:tcPr>
          <w:p>
            <w:pPr>
              <w:pStyle w:val="58"/>
              <w:keepNext w:val="0"/>
              <w:keepLines w:val="0"/>
              <w:pageBreakBefore w:val="0"/>
              <w:widowControl w:val="0"/>
              <w:kinsoku/>
              <w:wordWrap/>
              <w:overflowPunct w:val="0"/>
              <w:topLinePunct w:val="0"/>
              <w:autoSpaceDE w:val="0"/>
              <w:autoSpaceDN w:val="0"/>
              <w:bidi w:val="0"/>
              <w:adjustRightInd w:val="0"/>
              <w:snapToGrid/>
              <w:spacing w:beforeLines="0" w:afterLines="0" w:line="360" w:lineRule="auto"/>
              <w:textAlignment w:val="baseline"/>
              <w:rPr>
                <w:rFonts w:hint="default" w:eastAsia="Times New Roman"/>
                <w:color w:val="000000"/>
                <w:sz w:val="20"/>
                <w:szCs w:val="20"/>
                <w:lang w:val="en-US" w:eastAsia="fi-FI"/>
              </w:rPr>
            </w:pPr>
            <w:r>
              <w:rPr>
                <w:rFonts w:ascii="Times New Roman" w:hAnsi="Times New Roman" w:eastAsia="Yu Mincho"/>
                <w:sz w:val="20"/>
                <w:szCs w:val="20"/>
                <w:lang w:val="en-GB"/>
              </w:rPr>
              <w:t xml:space="preserve">10.5 </w:t>
            </w:r>
            <w:r>
              <w:rPr>
                <w:rFonts w:ascii="Times New Roman" w:hAnsi="Times New Roman" w:eastAsia="Yu Mincho"/>
                <w:sz w:val="20"/>
                <w:szCs w:val="20"/>
              </w:rPr>
              <w:t>Adjacent channel selectivity</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eastAsia="宋体"/>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2732" w:type="dxa"/>
            <w:tcBorders>
              <w:top w:val="single" w:color="auto" w:sz="4" w:space="0"/>
              <w:left w:val="single" w:color="auto" w:sz="4" w:space="0"/>
              <w:bottom w:val="single" w:color="auto" w:sz="4" w:space="0"/>
              <w:right w:val="single" w:color="auto" w:sz="4" w:space="0"/>
            </w:tcBorders>
            <w:shd w:val="clear" w:color="000000" w:fill="FFFFFF"/>
            <w:vAlign w:val="top"/>
          </w:tcPr>
          <w:p>
            <w:pPr>
              <w:pStyle w:val="58"/>
              <w:keepNext w:val="0"/>
              <w:keepLines w:val="0"/>
              <w:pageBreakBefore w:val="0"/>
              <w:widowControl w:val="0"/>
              <w:kinsoku/>
              <w:wordWrap/>
              <w:overflowPunct w:val="0"/>
              <w:topLinePunct w:val="0"/>
              <w:autoSpaceDE w:val="0"/>
              <w:autoSpaceDN w:val="0"/>
              <w:bidi w:val="0"/>
              <w:adjustRightInd w:val="0"/>
              <w:snapToGrid/>
              <w:spacing w:beforeLines="0" w:afterLines="0" w:line="360" w:lineRule="auto"/>
              <w:textAlignment w:val="baseline"/>
              <w:rPr>
                <w:rFonts w:eastAsia="PMingLiU"/>
                <w:kern w:val="2"/>
                <w:sz w:val="20"/>
                <w:szCs w:val="20"/>
                <w:lang w:eastAsia="zh-TW"/>
              </w:rPr>
            </w:pPr>
            <w:r>
              <w:rPr>
                <w:rFonts w:ascii="Times New Roman" w:hAnsi="Times New Roman" w:eastAsia="Yu Mincho"/>
                <w:sz w:val="20"/>
                <w:szCs w:val="20"/>
                <w:lang w:val="en-GB"/>
              </w:rPr>
              <w:t xml:space="preserve">10.6 </w:t>
            </w:r>
            <w:r>
              <w:rPr>
                <w:rFonts w:ascii="Times New Roman" w:hAnsi="Times New Roman" w:eastAsia="Yu Mincho"/>
                <w:sz w:val="20"/>
                <w:szCs w:val="20"/>
              </w:rPr>
              <w:t>Blocking characteristics</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eastAsia"/>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2732" w:type="dxa"/>
            <w:tcBorders>
              <w:top w:val="single" w:color="auto" w:sz="4" w:space="0"/>
              <w:left w:val="single" w:color="auto" w:sz="4" w:space="0"/>
              <w:bottom w:val="single" w:color="auto" w:sz="4" w:space="0"/>
              <w:right w:val="single" w:color="auto" w:sz="4" w:space="0"/>
            </w:tcBorders>
            <w:shd w:val="clear" w:color="000000" w:fill="FFFFFF"/>
            <w:vAlign w:val="top"/>
          </w:tcPr>
          <w:p>
            <w:pPr>
              <w:pStyle w:val="58"/>
              <w:keepNext w:val="0"/>
              <w:keepLines w:val="0"/>
              <w:pageBreakBefore w:val="0"/>
              <w:widowControl w:val="0"/>
              <w:kinsoku/>
              <w:wordWrap/>
              <w:overflowPunct w:val="0"/>
              <w:topLinePunct w:val="0"/>
              <w:autoSpaceDE w:val="0"/>
              <w:autoSpaceDN w:val="0"/>
              <w:bidi w:val="0"/>
              <w:adjustRightInd w:val="0"/>
              <w:snapToGrid/>
              <w:spacing w:beforeLines="0" w:afterLines="0" w:line="360" w:lineRule="auto"/>
              <w:textAlignment w:val="baseline"/>
              <w:rPr>
                <w:rFonts w:eastAsia="PMingLiU"/>
                <w:kern w:val="2"/>
                <w:sz w:val="20"/>
                <w:szCs w:val="20"/>
                <w:lang w:eastAsia="zh-TW"/>
              </w:rPr>
            </w:pPr>
            <w:r>
              <w:rPr>
                <w:rFonts w:ascii="Times New Roman" w:hAnsi="Times New Roman" w:eastAsia="Yu Mincho"/>
                <w:sz w:val="20"/>
                <w:szCs w:val="20"/>
                <w:lang w:val="en-GB"/>
              </w:rPr>
              <w:t xml:space="preserve">10.7 </w:t>
            </w:r>
            <w:r>
              <w:rPr>
                <w:rFonts w:ascii="Times New Roman" w:hAnsi="Times New Roman" w:eastAsia="Yu Mincho"/>
                <w:sz w:val="20"/>
                <w:szCs w:val="20"/>
              </w:rPr>
              <w:t>Spurious emissions</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default"/>
                <w:color w:val="000000"/>
                <w:sz w:val="20"/>
                <w:szCs w:val="20"/>
                <w:lang w:val="en-US" w:eastAsia="zh-CN"/>
              </w:rPr>
            </w:pPr>
            <w:r>
              <w:rPr>
                <w:rFonts w:hint="eastAsia"/>
                <w:color w:val="000000"/>
                <w:sz w:val="20"/>
                <w:szCs w:val="20"/>
                <w:lang w:val="en-US" w:eastAsia="zh-CN"/>
              </w:rPr>
              <w:t>Not applicable.</w:t>
            </w:r>
          </w:p>
        </w:tc>
      </w:tr>
      <w:tr>
        <w:tblPrEx>
          <w:tblCellMar>
            <w:top w:w="0" w:type="dxa"/>
            <w:left w:w="70" w:type="dxa"/>
            <w:bottom w:w="0" w:type="dxa"/>
            <w:right w:w="70" w:type="dxa"/>
          </w:tblCellMar>
        </w:tblPrEx>
        <w:trPr>
          <w:trHeight w:val="870" w:hRule="atLeast"/>
        </w:trPr>
        <w:tc>
          <w:tcPr>
            <w:tcW w:w="2732" w:type="dxa"/>
            <w:tcBorders>
              <w:top w:val="single" w:color="auto" w:sz="4" w:space="0"/>
              <w:left w:val="single" w:color="auto" w:sz="4" w:space="0"/>
              <w:bottom w:val="single" w:color="auto" w:sz="4" w:space="0"/>
              <w:right w:val="single" w:color="auto" w:sz="4" w:space="0"/>
            </w:tcBorders>
            <w:shd w:val="clear" w:color="000000" w:fill="FFFFFF"/>
            <w:vAlign w:val="top"/>
          </w:tcPr>
          <w:p>
            <w:pPr>
              <w:pStyle w:val="58"/>
              <w:keepNext w:val="0"/>
              <w:keepLines w:val="0"/>
              <w:pageBreakBefore w:val="0"/>
              <w:widowControl w:val="0"/>
              <w:kinsoku/>
              <w:wordWrap/>
              <w:overflowPunct w:val="0"/>
              <w:topLinePunct w:val="0"/>
              <w:autoSpaceDE w:val="0"/>
              <w:autoSpaceDN w:val="0"/>
              <w:bidi w:val="0"/>
              <w:adjustRightInd w:val="0"/>
              <w:snapToGrid/>
              <w:spacing w:beforeLines="0" w:afterLines="0" w:line="360" w:lineRule="auto"/>
              <w:textAlignment w:val="baseline"/>
              <w:rPr>
                <w:rFonts w:eastAsia="PMingLiU"/>
                <w:kern w:val="2"/>
                <w:sz w:val="20"/>
                <w:szCs w:val="20"/>
                <w:lang w:eastAsia="zh-TW"/>
              </w:rPr>
            </w:pPr>
            <w:r>
              <w:rPr>
                <w:rFonts w:ascii="Times New Roman" w:hAnsi="Times New Roman" w:eastAsia="Yu Mincho"/>
                <w:sz w:val="20"/>
                <w:szCs w:val="20"/>
                <w:lang w:val="en-GB"/>
              </w:rPr>
              <w:t xml:space="preserve">10.8 </w:t>
            </w:r>
            <w:r>
              <w:rPr>
                <w:rFonts w:ascii="Times New Roman" w:hAnsi="Times New Roman" w:eastAsia="Yu Mincho"/>
                <w:sz w:val="20"/>
                <w:szCs w:val="20"/>
              </w:rPr>
              <w:t>Receiver antenna off-axis performance</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topLinePunct w:val="0"/>
              <w:bidi w:val="0"/>
              <w:snapToGrid/>
              <w:spacing w:beforeLines="0" w:afterLines="0"/>
              <w:rPr>
                <w:rFonts w:hint="eastAsia"/>
                <w:color w:val="000000"/>
                <w:sz w:val="20"/>
                <w:szCs w:val="20"/>
                <w:lang w:val="en-US" w:eastAsia="zh-CN"/>
              </w:rPr>
            </w:pPr>
            <w:r>
              <w:rPr>
                <w:rFonts w:hint="eastAsia" w:eastAsia="宋体"/>
                <w:color w:val="000000"/>
                <w:sz w:val="20"/>
                <w:szCs w:val="20"/>
                <w:lang w:val="en-US" w:eastAsia="zh-CN"/>
              </w:rPr>
              <w:t>No specification impact.</w:t>
            </w:r>
          </w:p>
        </w:tc>
      </w:tr>
    </w:tbl>
    <w:p>
      <w:pPr>
        <w:rPr>
          <w:rFonts w:hint="eastAsia"/>
          <w:b/>
          <w:bCs/>
          <w:i w:val="0"/>
          <w:iCs w:val="0"/>
          <w:sz w:val="20"/>
          <w:szCs w:val="20"/>
          <w:lang w:val="en-US" w:eastAsia="zh-CN"/>
        </w:rPr>
      </w:pPr>
      <w:r>
        <w:rPr>
          <w:rFonts w:hint="eastAsia"/>
          <w:b/>
          <w:bCs/>
          <w:i w:val="0"/>
          <w:iCs w:val="0"/>
          <w:sz w:val="20"/>
          <w:szCs w:val="20"/>
          <w:lang w:val="en-US" w:eastAsia="zh-CN"/>
        </w:rPr>
        <w:t>Proposal 3: To use the proposals in Table 2.2-3 for UE RF impacts for new VSAT type.</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for NTN</w:t>
      </w:r>
      <w:r>
        <w:rPr>
          <w:rFonts w:hint="eastAsia" w:cs="Times New Roman"/>
          <w:b w:val="0"/>
          <w:bCs w:val="0"/>
          <w:kern w:val="0"/>
          <w:sz w:val="20"/>
          <w:szCs w:val="20"/>
          <w:highlight w:val="none"/>
          <w:lang w:val="en-US" w:eastAsia="zh-CN" w:bidi="ar-SA"/>
        </w:rPr>
        <w:t xml:space="preserve"> HD-FDD</w:t>
      </w:r>
      <w:r>
        <w:rPr>
          <w:rFonts w:hint="eastAsia" w:ascii="Times New Roman" w:hAnsi="Times New Roman" w:eastAsia="宋体" w:cs="Times New Roman"/>
          <w:b w:val="0"/>
          <w:bCs w:val="0"/>
          <w:kern w:val="0"/>
          <w:sz w:val="20"/>
          <w:szCs w:val="20"/>
          <w:highlight w:val="none"/>
          <w:lang w:val="en-US" w:eastAsia="zh-CN" w:bidi="ar-SA"/>
        </w:rPr>
        <w:t xml:space="preserve">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lang w:val="en-US" w:eastAsia="zh-CN"/>
        </w:rPr>
      </w:pPr>
      <w:r>
        <w:rPr>
          <w:rFonts w:hint="eastAsia"/>
          <w:lang w:val="en-US" w:eastAsia="zh-CN"/>
        </w:rPr>
        <w:t xml:space="preserve">fixed VSAT for Ku bands </w:t>
      </w:r>
      <w:r>
        <w:rPr>
          <w:rFonts w:eastAsia="PMingLiU"/>
          <w:sz w:val="20"/>
          <w:szCs w:val="20"/>
          <w:lang w:val="en-US" w:eastAsia="zh-TW"/>
        </w:rPr>
        <w:t>n248 and n247</w:t>
      </w:r>
      <w:r>
        <w:rPr>
          <w:rFonts w:hint="eastAsia"/>
          <w:lang w:val="en-US" w:eastAsia="zh-CN"/>
        </w:rPr>
        <w:t>.</w:t>
      </w:r>
    </w:p>
    <w:p>
      <w:pPr>
        <w:rPr>
          <w:rFonts w:hint="eastAsia" w:eastAsia="宋体"/>
          <w:b/>
          <w:bCs/>
          <w:sz w:val="20"/>
          <w:szCs w:val="20"/>
          <w:lang w:val="en-US" w:eastAsia="zh-CN"/>
        </w:rPr>
      </w:pPr>
      <w:r>
        <w:rPr>
          <w:rFonts w:hint="eastAsia"/>
          <w:b/>
          <w:bCs/>
          <w:sz w:val="20"/>
          <w:szCs w:val="20"/>
          <w:lang w:val="en-US" w:eastAsia="zh-CN"/>
        </w:rPr>
        <w:t xml:space="preserve">Proposal 1: To reuse </w:t>
      </w:r>
      <w:r>
        <w:rPr>
          <w:rFonts w:eastAsia="PMingLiU"/>
          <w:b/>
          <w:bCs/>
          <w:sz w:val="20"/>
          <w:szCs w:val="20"/>
          <w:lang w:val="en-US" w:eastAsia="zh-TW"/>
        </w:rPr>
        <w:t>regulation related requirements related to NS_203N~NS_208N for the fixed VSAT operating in n248 and n247</w:t>
      </w:r>
      <w:r>
        <w:rPr>
          <w:rFonts w:hint="eastAsia" w:eastAsia="宋体"/>
          <w:b/>
          <w:bCs/>
          <w:sz w:val="20"/>
          <w:szCs w:val="20"/>
          <w:lang w:val="en-US" w:eastAsia="zh-CN"/>
        </w:rPr>
        <w:t>.</w:t>
      </w:r>
    </w:p>
    <w:p>
      <w:pPr>
        <w:rPr>
          <w:rFonts w:hint="default"/>
          <w:b/>
          <w:bCs/>
          <w:lang w:val="en-US" w:eastAsia="zh-CN"/>
        </w:rPr>
      </w:pPr>
      <w:r>
        <w:rPr>
          <w:rFonts w:hint="eastAsia"/>
          <w:b/>
          <w:bCs/>
          <w:lang w:val="en-US" w:eastAsia="zh-CN"/>
        </w:rPr>
        <w:t>Observation 1: Based on link budget, the min EIRP is 61dBm for VSAT with small antenna communicating with GSO.</w:t>
      </w:r>
    </w:p>
    <w:p>
      <w:pPr>
        <w:rPr>
          <w:rFonts w:hint="eastAsia"/>
          <w:b/>
          <w:bCs/>
          <w:lang w:val="en-US" w:eastAsia="zh-CN"/>
        </w:rPr>
      </w:pPr>
      <w:r>
        <w:rPr>
          <w:rFonts w:hint="eastAsia"/>
          <w:b/>
          <w:bCs/>
          <w:lang w:val="en-US" w:eastAsia="zh-CN"/>
        </w:rPr>
        <w:t>Observation 2: It may be difficult for VSAT with antenna size 20x20cm to support GSO.</w:t>
      </w:r>
    </w:p>
    <w:p>
      <w:pPr>
        <w:rPr>
          <w:rFonts w:hint="eastAsia"/>
          <w:b/>
          <w:bCs/>
          <w:lang w:val="en-US" w:eastAsia="zh-CN"/>
        </w:rPr>
      </w:pPr>
      <w:r>
        <w:rPr>
          <w:rFonts w:hint="eastAsia"/>
          <w:b/>
          <w:bCs/>
          <w:lang w:val="en-US" w:eastAsia="zh-CN"/>
        </w:rPr>
        <w:t>Observation 3: The min antenna element is 450 to achieve 61dBm min EIRP.</w:t>
      </w:r>
    </w:p>
    <w:p>
      <w:pPr>
        <w:rPr>
          <w:rFonts w:hint="default"/>
          <w:b/>
          <w:bCs/>
          <w:lang w:val="en-US" w:eastAsia="zh-CN"/>
        </w:rPr>
      </w:pPr>
      <w:r>
        <w:rPr>
          <w:rFonts w:hint="eastAsia"/>
          <w:b/>
          <w:bCs/>
          <w:lang w:val="en-US" w:eastAsia="zh-CN"/>
        </w:rPr>
        <w:t>Proposal 2: Need to confirm whether a VSAT with small antenna size larger than 20x20cm is in the scope of WID.</w:t>
      </w:r>
    </w:p>
    <w:p>
      <w:pPr>
        <w:rPr>
          <w:rFonts w:hint="eastAsia"/>
          <w:b/>
          <w:bCs/>
          <w:i w:val="0"/>
          <w:iCs w:val="0"/>
          <w:sz w:val="20"/>
          <w:szCs w:val="20"/>
          <w:lang w:val="en-US" w:eastAsia="zh-CN"/>
        </w:rPr>
      </w:pPr>
      <w:r>
        <w:rPr>
          <w:rFonts w:hint="eastAsia"/>
          <w:b/>
          <w:bCs/>
          <w:i w:val="0"/>
          <w:iCs w:val="0"/>
          <w:sz w:val="20"/>
          <w:szCs w:val="20"/>
          <w:lang w:val="en-US" w:eastAsia="zh-CN"/>
        </w:rPr>
        <w:t>Proposal 3: To use the proposals in Table 2.2-3 for UE RF impacts for new VSAT type.</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4"/>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RP-252962, New WID on Enhanced requirements for NR NTN and IoT NTN Phase 2, Moderator (RAN4 VC, Qualcomm Incorporated)</w:t>
      </w:r>
    </w:p>
    <w:p>
      <w:pPr>
        <w:keepNext/>
        <w:keepLines/>
        <w:pageBreakBefore w:val="0"/>
        <w:widowControl/>
        <w:numPr>
          <w:ilvl w:val="0"/>
          <w:numId w:val="14"/>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R4-2502173</w:t>
      </w:r>
      <w:r>
        <w:rPr>
          <w:rFonts w:hint="eastAsia"/>
          <w:sz w:val="20"/>
          <w:szCs w:val="20"/>
          <w:lang w:val="en-US" w:eastAsia="zh-CN"/>
        </w:rPr>
        <w:t>, Discussion on Ku-band VSAT output power and different antenna sizes, LG Electronics</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308058D"/>
    <w:multiLevelType w:val="multilevel"/>
    <w:tmpl w:val="0308058D"/>
    <w:lvl w:ilvl="0" w:tentative="0">
      <w:start w:val="0"/>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0BB7E90"/>
    <w:multiLevelType w:val="multilevel"/>
    <w:tmpl w:val="10BB7E90"/>
    <w:lvl w:ilvl="0" w:tentative="0">
      <w:start w:val="1"/>
      <w:numFmt w:val="bullet"/>
      <w:lvlText w:val="o"/>
      <w:lvlJc w:val="left"/>
      <w:pPr>
        <w:ind w:left="1200" w:hanging="480"/>
      </w:pPr>
      <w:rPr>
        <w:rFonts w:hint="default" w:ascii="Courier New" w:hAnsi="Courier New" w:cs="Courier New"/>
      </w:rPr>
    </w:lvl>
    <w:lvl w:ilvl="1" w:tentative="0">
      <w:start w:val="1"/>
      <w:numFmt w:val="bullet"/>
      <w:lvlText w:val=""/>
      <w:lvlJc w:val="left"/>
      <w:pPr>
        <w:ind w:left="1680" w:hanging="480"/>
      </w:pPr>
      <w:rPr>
        <w:rFonts w:hint="default" w:ascii="Wingdings" w:hAnsi="Wingdings"/>
      </w:rPr>
    </w:lvl>
    <w:lvl w:ilvl="2" w:tentative="0">
      <w:start w:val="1"/>
      <w:numFmt w:val="bullet"/>
      <w:lvlText w:val="-"/>
      <w:lvlJc w:val="left"/>
      <w:pPr>
        <w:ind w:left="2160" w:hanging="480"/>
      </w:pPr>
      <w:rPr>
        <w:rFonts w:hint="default" w:ascii="Times New Roman" w:hAnsi="Times New Roman" w:cs="Times New Roman"/>
        <w:lang w:val="en-GB"/>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4FF0A6"/>
    <w:multiLevelType w:val="singleLevel"/>
    <w:tmpl w:val="3A4FF0A6"/>
    <w:lvl w:ilvl="0" w:tentative="0">
      <w:start w:val="1"/>
      <w:numFmt w:val="bullet"/>
      <w:lvlText w:val="•"/>
      <w:lvlJc w:val="left"/>
      <w:pPr>
        <w:ind w:left="420" w:leftChars="0" w:hanging="420" w:firstLineChars="0"/>
      </w:pPr>
      <w:rPr>
        <w:rFonts w:hint="default" w:ascii="Arial" w:hAnsi="Arial" w:cs="Arial"/>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58573D41"/>
    <w:multiLevelType w:val="multilevel"/>
    <w:tmpl w:val="58573D4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5F723A5E"/>
    <w:multiLevelType w:val="singleLevel"/>
    <w:tmpl w:val="5F723A5E"/>
    <w:lvl w:ilvl="0" w:tentative="0">
      <w:start w:val="1"/>
      <w:numFmt w:val="decimal"/>
      <w:suff w:val="space"/>
      <w:lvlText w:val="[%1]"/>
      <w:lvlJc w:val="left"/>
    </w:lvl>
  </w:abstractNum>
  <w:abstractNum w:abstractNumId="12">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3">
    <w:nsid w:val="77C3446E"/>
    <w:multiLevelType w:val="multilevel"/>
    <w:tmpl w:val="77C3446E"/>
    <w:lvl w:ilvl="0" w:tentative="0">
      <w:start w:val="1"/>
      <w:numFmt w:val="bullet"/>
      <w:lvlText w:val=""/>
      <w:lvlJc w:val="left"/>
      <w:pPr>
        <w:ind w:left="1200" w:hanging="480"/>
      </w:pPr>
      <w:rPr>
        <w:rFonts w:hint="default" w:ascii="Symbol" w:hAnsi="Symbol"/>
      </w:rPr>
    </w:lvl>
    <w:lvl w:ilvl="1" w:tentative="0">
      <w:start w:val="1"/>
      <w:numFmt w:val="bullet"/>
      <w:lvlText w:val=""/>
      <w:lvlJc w:val="left"/>
      <w:pPr>
        <w:ind w:left="1680" w:hanging="480"/>
      </w:pPr>
      <w:rPr>
        <w:rFonts w:hint="default" w:ascii="Wingdings" w:hAnsi="Wingdings"/>
      </w:rPr>
    </w:lvl>
    <w:lvl w:ilvl="2" w:tentative="0">
      <w:start w:val="1"/>
      <w:numFmt w:val="bullet"/>
      <w:lvlText w:val=""/>
      <w:lvlJc w:val="left"/>
      <w:pPr>
        <w:ind w:left="2160" w:hanging="480"/>
      </w:pPr>
      <w:rPr>
        <w:rFonts w:hint="default" w:ascii="Wingdings" w:hAnsi="Wingdings"/>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num w:numId="1">
    <w:abstractNumId w:val="3"/>
  </w:num>
  <w:num w:numId="2">
    <w:abstractNumId w:val="12"/>
  </w:num>
  <w:num w:numId="3">
    <w:abstractNumId w:val="10"/>
  </w:num>
  <w:num w:numId="4">
    <w:abstractNumId w:val="5"/>
  </w:num>
  <w:num w:numId="5">
    <w:abstractNumId w:val="7"/>
  </w:num>
  <w:num w:numId="6">
    <w:abstractNumId w:val="1"/>
  </w:num>
  <w:num w:numId="7">
    <w:abstractNumId w:val="0"/>
  </w:num>
  <w:num w:numId="8">
    <w:abstractNumId w:val="13"/>
  </w:num>
  <w:num w:numId="9">
    <w:abstractNumId w:val="4"/>
  </w:num>
  <w:num w:numId="10">
    <w:abstractNumId w:val="8"/>
  </w:num>
  <w:num w:numId="11">
    <w:abstractNumId w:val="9"/>
  </w:num>
  <w:num w:numId="12">
    <w:abstractNumId w:val="6"/>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928F8"/>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F32DD"/>
    <w:rsid w:val="02C4439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84A28"/>
    <w:rsid w:val="046C0EAE"/>
    <w:rsid w:val="04774107"/>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440D"/>
    <w:rsid w:val="05EA759F"/>
    <w:rsid w:val="05EE6827"/>
    <w:rsid w:val="0601277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5330"/>
    <w:rsid w:val="06782F84"/>
    <w:rsid w:val="067C28D6"/>
    <w:rsid w:val="067F5F89"/>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6FF3AE6"/>
    <w:rsid w:val="070E5E48"/>
    <w:rsid w:val="07105178"/>
    <w:rsid w:val="0712124C"/>
    <w:rsid w:val="071C13A8"/>
    <w:rsid w:val="073D143C"/>
    <w:rsid w:val="074454BD"/>
    <w:rsid w:val="07455818"/>
    <w:rsid w:val="074855FD"/>
    <w:rsid w:val="07627CA0"/>
    <w:rsid w:val="076319C4"/>
    <w:rsid w:val="076925D2"/>
    <w:rsid w:val="077241E3"/>
    <w:rsid w:val="0781725F"/>
    <w:rsid w:val="078C5933"/>
    <w:rsid w:val="078D336C"/>
    <w:rsid w:val="07971B3F"/>
    <w:rsid w:val="07983294"/>
    <w:rsid w:val="079B3BB0"/>
    <w:rsid w:val="079F1838"/>
    <w:rsid w:val="07A2030D"/>
    <w:rsid w:val="07A5677E"/>
    <w:rsid w:val="07AE2F3D"/>
    <w:rsid w:val="07B51934"/>
    <w:rsid w:val="07B9290D"/>
    <w:rsid w:val="07BE52B9"/>
    <w:rsid w:val="07C55A1A"/>
    <w:rsid w:val="07CB1347"/>
    <w:rsid w:val="07D57946"/>
    <w:rsid w:val="07ED524D"/>
    <w:rsid w:val="07F065BC"/>
    <w:rsid w:val="07F17513"/>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1B2438"/>
    <w:rsid w:val="0B267BFC"/>
    <w:rsid w:val="0B2713F4"/>
    <w:rsid w:val="0B271CD3"/>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7F7318"/>
    <w:rsid w:val="0D883C88"/>
    <w:rsid w:val="0D8A6002"/>
    <w:rsid w:val="0D9074CF"/>
    <w:rsid w:val="0D936E72"/>
    <w:rsid w:val="0D966BF7"/>
    <w:rsid w:val="0DB54F84"/>
    <w:rsid w:val="0DB84465"/>
    <w:rsid w:val="0DC725FF"/>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5B570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DA4653"/>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BF2B94"/>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A334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85EBF"/>
    <w:rsid w:val="146B69A8"/>
    <w:rsid w:val="146C5189"/>
    <w:rsid w:val="146F1089"/>
    <w:rsid w:val="14791538"/>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A502D0"/>
    <w:rsid w:val="15B03F28"/>
    <w:rsid w:val="15C15E25"/>
    <w:rsid w:val="15C42571"/>
    <w:rsid w:val="15C42D15"/>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80705"/>
    <w:rsid w:val="183E1D37"/>
    <w:rsid w:val="1840126B"/>
    <w:rsid w:val="1846724A"/>
    <w:rsid w:val="184A22E6"/>
    <w:rsid w:val="184D0787"/>
    <w:rsid w:val="184E71FB"/>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3097F"/>
    <w:rsid w:val="19C456C1"/>
    <w:rsid w:val="19CF3820"/>
    <w:rsid w:val="19E24986"/>
    <w:rsid w:val="19E256B5"/>
    <w:rsid w:val="19E54655"/>
    <w:rsid w:val="19EF2C2D"/>
    <w:rsid w:val="19F061A1"/>
    <w:rsid w:val="19F81E45"/>
    <w:rsid w:val="1A054259"/>
    <w:rsid w:val="1A081816"/>
    <w:rsid w:val="1A0C5680"/>
    <w:rsid w:val="1A165171"/>
    <w:rsid w:val="1A3068A4"/>
    <w:rsid w:val="1A352E58"/>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533C5"/>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360F4"/>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B1886"/>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202C9C"/>
    <w:rsid w:val="213B13E1"/>
    <w:rsid w:val="213E7119"/>
    <w:rsid w:val="21401C29"/>
    <w:rsid w:val="214045DB"/>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47231"/>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2C150C"/>
    <w:rsid w:val="24312CB0"/>
    <w:rsid w:val="243A6CBE"/>
    <w:rsid w:val="24513B48"/>
    <w:rsid w:val="2458381E"/>
    <w:rsid w:val="245872F9"/>
    <w:rsid w:val="245943D9"/>
    <w:rsid w:val="245E6B64"/>
    <w:rsid w:val="24625305"/>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05451"/>
    <w:rsid w:val="26F503CD"/>
    <w:rsid w:val="27036506"/>
    <w:rsid w:val="27047832"/>
    <w:rsid w:val="2706037D"/>
    <w:rsid w:val="27077793"/>
    <w:rsid w:val="270D152E"/>
    <w:rsid w:val="271436A9"/>
    <w:rsid w:val="27153FC5"/>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EE136A"/>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252AF"/>
    <w:rsid w:val="2A6C2D77"/>
    <w:rsid w:val="2A6E31F8"/>
    <w:rsid w:val="2A7270B7"/>
    <w:rsid w:val="2A824349"/>
    <w:rsid w:val="2A87174E"/>
    <w:rsid w:val="2A87294F"/>
    <w:rsid w:val="2A8948BD"/>
    <w:rsid w:val="2A8A2F9C"/>
    <w:rsid w:val="2AA45D17"/>
    <w:rsid w:val="2AAB3B94"/>
    <w:rsid w:val="2AAC5A06"/>
    <w:rsid w:val="2AB22DE3"/>
    <w:rsid w:val="2AB369FC"/>
    <w:rsid w:val="2AB775FB"/>
    <w:rsid w:val="2ABB3D6F"/>
    <w:rsid w:val="2AC318D9"/>
    <w:rsid w:val="2AC70B30"/>
    <w:rsid w:val="2ACC2AAF"/>
    <w:rsid w:val="2ACD717C"/>
    <w:rsid w:val="2ACF41CB"/>
    <w:rsid w:val="2AD74744"/>
    <w:rsid w:val="2AD91AC2"/>
    <w:rsid w:val="2AE57C95"/>
    <w:rsid w:val="2AEE1DAF"/>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A1D17"/>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C86676"/>
    <w:rsid w:val="2FD17A1B"/>
    <w:rsid w:val="2FD71CA4"/>
    <w:rsid w:val="2FDC432A"/>
    <w:rsid w:val="2FDC4A8D"/>
    <w:rsid w:val="2FDD73CC"/>
    <w:rsid w:val="2FE27109"/>
    <w:rsid w:val="2FEA743A"/>
    <w:rsid w:val="2FF24D11"/>
    <w:rsid w:val="2FF93066"/>
    <w:rsid w:val="2FFF08B3"/>
    <w:rsid w:val="30114224"/>
    <w:rsid w:val="301742B2"/>
    <w:rsid w:val="301A1509"/>
    <w:rsid w:val="301A71CE"/>
    <w:rsid w:val="301D63DD"/>
    <w:rsid w:val="301E049B"/>
    <w:rsid w:val="302A4BE6"/>
    <w:rsid w:val="304478EC"/>
    <w:rsid w:val="304F4511"/>
    <w:rsid w:val="30515C8E"/>
    <w:rsid w:val="305823FF"/>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91AB9"/>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A3506F"/>
    <w:rsid w:val="32B52836"/>
    <w:rsid w:val="32DF351E"/>
    <w:rsid w:val="32EE5E41"/>
    <w:rsid w:val="32F1510B"/>
    <w:rsid w:val="32F40F87"/>
    <w:rsid w:val="32F520B9"/>
    <w:rsid w:val="32F7491E"/>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1F37C9"/>
    <w:rsid w:val="342763E9"/>
    <w:rsid w:val="3429226D"/>
    <w:rsid w:val="342B76C7"/>
    <w:rsid w:val="343A1527"/>
    <w:rsid w:val="34447898"/>
    <w:rsid w:val="344E62FA"/>
    <w:rsid w:val="34542DE9"/>
    <w:rsid w:val="34542E46"/>
    <w:rsid w:val="346C4879"/>
    <w:rsid w:val="346D7DEA"/>
    <w:rsid w:val="3472234D"/>
    <w:rsid w:val="347D500F"/>
    <w:rsid w:val="34830157"/>
    <w:rsid w:val="34872D27"/>
    <w:rsid w:val="348E1A23"/>
    <w:rsid w:val="348E58C4"/>
    <w:rsid w:val="349164BD"/>
    <w:rsid w:val="3495237E"/>
    <w:rsid w:val="3499657C"/>
    <w:rsid w:val="34A52713"/>
    <w:rsid w:val="34BD02AE"/>
    <w:rsid w:val="34BD32A6"/>
    <w:rsid w:val="34BE1B67"/>
    <w:rsid w:val="34C20DC7"/>
    <w:rsid w:val="34D5072E"/>
    <w:rsid w:val="34DA26A8"/>
    <w:rsid w:val="34DE2B9F"/>
    <w:rsid w:val="34DF0124"/>
    <w:rsid w:val="34E145D2"/>
    <w:rsid w:val="34E75EA5"/>
    <w:rsid w:val="34E960F1"/>
    <w:rsid w:val="34EE6187"/>
    <w:rsid w:val="350A65C4"/>
    <w:rsid w:val="350B42D5"/>
    <w:rsid w:val="350F6258"/>
    <w:rsid w:val="351A603C"/>
    <w:rsid w:val="352821F6"/>
    <w:rsid w:val="35292624"/>
    <w:rsid w:val="35334752"/>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93760"/>
    <w:rsid w:val="36EE0289"/>
    <w:rsid w:val="36F147BB"/>
    <w:rsid w:val="36F4550C"/>
    <w:rsid w:val="36FB4305"/>
    <w:rsid w:val="36FF3D71"/>
    <w:rsid w:val="3708597F"/>
    <w:rsid w:val="3709624C"/>
    <w:rsid w:val="37096815"/>
    <w:rsid w:val="370F7060"/>
    <w:rsid w:val="37134801"/>
    <w:rsid w:val="37173233"/>
    <w:rsid w:val="371C344E"/>
    <w:rsid w:val="37226558"/>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3B97"/>
    <w:rsid w:val="37987437"/>
    <w:rsid w:val="379F33FC"/>
    <w:rsid w:val="37A432E4"/>
    <w:rsid w:val="37A86196"/>
    <w:rsid w:val="37C94031"/>
    <w:rsid w:val="37CA042E"/>
    <w:rsid w:val="37CA2635"/>
    <w:rsid w:val="37D44549"/>
    <w:rsid w:val="37D77B09"/>
    <w:rsid w:val="37D931A8"/>
    <w:rsid w:val="37D97EDE"/>
    <w:rsid w:val="37E76E34"/>
    <w:rsid w:val="380632B2"/>
    <w:rsid w:val="380D02B1"/>
    <w:rsid w:val="380D428F"/>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3518E5"/>
    <w:rsid w:val="394B6470"/>
    <w:rsid w:val="395C6EA8"/>
    <w:rsid w:val="39872512"/>
    <w:rsid w:val="399722B9"/>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24C31"/>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66598"/>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33ABA"/>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B6EB6"/>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03339"/>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A261A"/>
    <w:rsid w:val="3FFB0F66"/>
    <w:rsid w:val="40022F93"/>
    <w:rsid w:val="400E6DDA"/>
    <w:rsid w:val="40146E6B"/>
    <w:rsid w:val="4017784F"/>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B250D"/>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E6BFF"/>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31D39"/>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44E00"/>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B4FF2"/>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D83356"/>
    <w:rsid w:val="48E01C77"/>
    <w:rsid w:val="48E22285"/>
    <w:rsid w:val="48E50D90"/>
    <w:rsid w:val="48EB0B49"/>
    <w:rsid w:val="48EB0D16"/>
    <w:rsid w:val="48F63A85"/>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253FD"/>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A7E8B"/>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59780E"/>
    <w:rsid w:val="4D6022FC"/>
    <w:rsid w:val="4D6748C7"/>
    <w:rsid w:val="4D7D3EFB"/>
    <w:rsid w:val="4D883EF9"/>
    <w:rsid w:val="4D8B0123"/>
    <w:rsid w:val="4D907392"/>
    <w:rsid w:val="4D940DD6"/>
    <w:rsid w:val="4DAF14C5"/>
    <w:rsid w:val="4DB9067A"/>
    <w:rsid w:val="4DC605B6"/>
    <w:rsid w:val="4DD732D2"/>
    <w:rsid w:val="4DD73CBA"/>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212CC"/>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6C6998"/>
    <w:rsid w:val="4F844A99"/>
    <w:rsid w:val="4F8F6520"/>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3547D"/>
    <w:rsid w:val="50BB6306"/>
    <w:rsid w:val="50C12EDC"/>
    <w:rsid w:val="50CD2E4B"/>
    <w:rsid w:val="50D8533B"/>
    <w:rsid w:val="50DA0A9E"/>
    <w:rsid w:val="50ED21B8"/>
    <w:rsid w:val="50F31CB9"/>
    <w:rsid w:val="50F66F3D"/>
    <w:rsid w:val="50F8688B"/>
    <w:rsid w:val="50FA27BD"/>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10238"/>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403EC"/>
    <w:rsid w:val="53BD0731"/>
    <w:rsid w:val="53BF4252"/>
    <w:rsid w:val="53D5647F"/>
    <w:rsid w:val="53D6247A"/>
    <w:rsid w:val="53DB3477"/>
    <w:rsid w:val="53DE00FF"/>
    <w:rsid w:val="53E656AF"/>
    <w:rsid w:val="53E77CBF"/>
    <w:rsid w:val="53FE7128"/>
    <w:rsid w:val="541A285B"/>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5B11E6"/>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27460C"/>
    <w:rsid w:val="5632642A"/>
    <w:rsid w:val="56375B61"/>
    <w:rsid w:val="564944F4"/>
    <w:rsid w:val="564E5820"/>
    <w:rsid w:val="565104C5"/>
    <w:rsid w:val="56630C00"/>
    <w:rsid w:val="56721038"/>
    <w:rsid w:val="567739D2"/>
    <w:rsid w:val="56775A0A"/>
    <w:rsid w:val="5686536D"/>
    <w:rsid w:val="568B1DB1"/>
    <w:rsid w:val="56A55214"/>
    <w:rsid w:val="56A67978"/>
    <w:rsid w:val="56AC63C5"/>
    <w:rsid w:val="56B538F7"/>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AD6638"/>
    <w:rsid w:val="57B7178E"/>
    <w:rsid w:val="57B76EED"/>
    <w:rsid w:val="57BD72A7"/>
    <w:rsid w:val="57BE5838"/>
    <w:rsid w:val="57BF764E"/>
    <w:rsid w:val="57CB35DF"/>
    <w:rsid w:val="57D82354"/>
    <w:rsid w:val="57F43675"/>
    <w:rsid w:val="57FC0156"/>
    <w:rsid w:val="57FC07D9"/>
    <w:rsid w:val="57FF6992"/>
    <w:rsid w:val="58036FF1"/>
    <w:rsid w:val="58093EBB"/>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21BF9"/>
    <w:rsid w:val="59B37D53"/>
    <w:rsid w:val="59B80C41"/>
    <w:rsid w:val="59BB4EA3"/>
    <w:rsid w:val="59C10A96"/>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86A6F"/>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182C"/>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4663E"/>
    <w:rsid w:val="5C0530E3"/>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14228"/>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EE2993"/>
    <w:rsid w:val="5DFD51DB"/>
    <w:rsid w:val="5E081D60"/>
    <w:rsid w:val="5E0B017F"/>
    <w:rsid w:val="5E0B0848"/>
    <w:rsid w:val="5E1D4A67"/>
    <w:rsid w:val="5E1F2E4C"/>
    <w:rsid w:val="5E237029"/>
    <w:rsid w:val="5E3358BB"/>
    <w:rsid w:val="5E3A3BD1"/>
    <w:rsid w:val="5E3E6E2C"/>
    <w:rsid w:val="5E410C7C"/>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9013A"/>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5FFF04A2"/>
    <w:rsid w:val="60060CD5"/>
    <w:rsid w:val="60085AA3"/>
    <w:rsid w:val="600E362B"/>
    <w:rsid w:val="60183392"/>
    <w:rsid w:val="601A4CB1"/>
    <w:rsid w:val="601B56CB"/>
    <w:rsid w:val="60237FFC"/>
    <w:rsid w:val="602C236D"/>
    <w:rsid w:val="603114E4"/>
    <w:rsid w:val="603967D7"/>
    <w:rsid w:val="603D3325"/>
    <w:rsid w:val="604040A8"/>
    <w:rsid w:val="604233CA"/>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14586E"/>
    <w:rsid w:val="6327422B"/>
    <w:rsid w:val="6328597C"/>
    <w:rsid w:val="633B249F"/>
    <w:rsid w:val="633D1842"/>
    <w:rsid w:val="635123F0"/>
    <w:rsid w:val="63552D76"/>
    <w:rsid w:val="6359778B"/>
    <w:rsid w:val="635B63E3"/>
    <w:rsid w:val="63677698"/>
    <w:rsid w:val="63771D13"/>
    <w:rsid w:val="638C3395"/>
    <w:rsid w:val="63AF5C44"/>
    <w:rsid w:val="63B37325"/>
    <w:rsid w:val="63B811CF"/>
    <w:rsid w:val="63B82D87"/>
    <w:rsid w:val="63BA3154"/>
    <w:rsid w:val="63C509F9"/>
    <w:rsid w:val="63CA2E8B"/>
    <w:rsid w:val="63CF097D"/>
    <w:rsid w:val="63D4153E"/>
    <w:rsid w:val="63DA0FA3"/>
    <w:rsid w:val="63DC7755"/>
    <w:rsid w:val="63E43D21"/>
    <w:rsid w:val="63E774B3"/>
    <w:rsid w:val="63F24AD5"/>
    <w:rsid w:val="63F47D2A"/>
    <w:rsid w:val="63F6335E"/>
    <w:rsid w:val="63FE2D33"/>
    <w:rsid w:val="64046427"/>
    <w:rsid w:val="640B5788"/>
    <w:rsid w:val="642369FC"/>
    <w:rsid w:val="64254882"/>
    <w:rsid w:val="64264A79"/>
    <w:rsid w:val="642A38B2"/>
    <w:rsid w:val="64304E58"/>
    <w:rsid w:val="64311867"/>
    <w:rsid w:val="64391ED3"/>
    <w:rsid w:val="6445632E"/>
    <w:rsid w:val="644E1102"/>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38587F"/>
    <w:rsid w:val="664805B8"/>
    <w:rsid w:val="665572E9"/>
    <w:rsid w:val="665B14BD"/>
    <w:rsid w:val="665B55EA"/>
    <w:rsid w:val="66641D58"/>
    <w:rsid w:val="66655F85"/>
    <w:rsid w:val="667C7AEC"/>
    <w:rsid w:val="667F71BA"/>
    <w:rsid w:val="66863A0F"/>
    <w:rsid w:val="66984358"/>
    <w:rsid w:val="669B6A1E"/>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35DC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90FA5"/>
    <w:rsid w:val="691C1D81"/>
    <w:rsid w:val="691C3525"/>
    <w:rsid w:val="691C4B46"/>
    <w:rsid w:val="69216128"/>
    <w:rsid w:val="69250799"/>
    <w:rsid w:val="69280874"/>
    <w:rsid w:val="692E74C3"/>
    <w:rsid w:val="69307671"/>
    <w:rsid w:val="695700F7"/>
    <w:rsid w:val="695D6B21"/>
    <w:rsid w:val="69611EE7"/>
    <w:rsid w:val="69621F5B"/>
    <w:rsid w:val="696C708E"/>
    <w:rsid w:val="696F4D5D"/>
    <w:rsid w:val="69850877"/>
    <w:rsid w:val="69887770"/>
    <w:rsid w:val="698C13C5"/>
    <w:rsid w:val="69A761C3"/>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CD3503"/>
    <w:rsid w:val="6AD3247E"/>
    <w:rsid w:val="6AE4699C"/>
    <w:rsid w:val="6AED1BE8"/>
    <w:rsid w:val="6AF00853"/>
    <w:rsid w:val="6AF317C6"/>
    <w:rsid w:val="6B004C6B"/>
    <w:rsid w:val="6B09696B"/>
    <w:rsid w:val="6B2B0EFD"/>
    <w:rsid w:val="6B2B1855"/>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D78C3"/>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03451"/>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DA2975"/>
    <w:rsid w:val="6EE91D3B"/>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5F7689"/>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BE2CAC"/>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6E39D9"/>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16C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22B3"/>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57FAC"/>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7D2AE6"/>
    <w:rsid w:val="7B890A24"/>
    <w:rsid w:val="7B8A4A8A"/>
    <w:rsid w:val="7BAA485C"/>
    <w:rsid w:val="7BAD1591"/>
    <w:rsid w:val="7BCD64C2"/>
    <w:rsid w:val="7BD14F6E"/>
    <w:rsid w:val="7BD3716B"/>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932C9"/>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60D77"/>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2025-11-07T08:38:18Z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0119C6AF41D544BB9FE93BF521FFDBA3</vt:lpwstr>
  </property>
</Properties>
</file>